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FE5B7" w14:textId="77777777" w:rsidR="001B0A7F" w:rsidRPr="002453EB" w:rsidRDefault="001B0A7F" w:rsidP="006E250E">
      <w:pPr>
        <w:ind w:left="5812"/>
        <w:jc w:val="both"/>
        <w:rPr>
          <w:b/>
          <w:szCs w:val="22"/>
        </w:rPr>
      </w:pPr>
      <w:r w:rsidRPr="002453EB">
        <w:rPr>
          <w:b/>
          <w:szCs w:val="22"/>
        </w:rPr>
        <w:t>УТВЕРЖДЕНЫ</w:t>
      </w:r>
    </w:p>
    <w:p w14:paraId="1CE35816" w14:textId="77777777" w:rsidR="00BC5337" w:rsidRDefault="002453EB" w:rsidP="00BC5337">
      <w:pPr>
        <w:ind w:left="5812"/>
        <w:jc w:val="both"/>
        <w:rPr>
          <w:b/>
          <w:szCs w:val="22"/>
        </w:rPr>
      </w:pPr>
      <w:r w:rsidRPr="002453EB">
        <w:rPr>
          <w:b/>
          <w:szCs w:val="22"/>
        </w:rPr>
        <w:t xml:space="preserve">Приказом </w:t>
      </w:r>
      <w:r w:rsidR="008940E8">
        <w:rPr>
          <w:b/>
          <w:szCs w:val="22"/>
        </w:rPr>
        <w:t>Г</w:t>
      </w:r>
      <w:r w:rsidR="001B0A7F" w:rsidRPr="002453EB">
        <w:rPr>
          <w:b/>
          <w:szCs w:val="22"/>
        </w:rPr>
        <w:t>енерального директора</w:t>
      </w:r>
      <w:r w:rsidR="008940E8">
        <w:rPr>
          <w:b/>
          <w:szCs w:val="22"/>
        </w:rPr>
        <w:br/>
      </w:r>
      <w:r w:rsidR="001B0A7F" w:rsidRPr="002453EB">
        <w:rPr>
          <w:b/>
          <w:szCs w:val="22"/>
        </w:rPr>
        <w:t>ООО «</w:t>
      </w:r>
      <w:r w:rsidR="00AD4E90">
        <w:rPr>
          <w:b/>
          <w:szCs w:val="22"/>
        </w:rPr>
        <w:t xml:space="preserve">УК </w:t>
      </w:r>
      <w:r w:rsidRPr="002453EB">
        <w:rPr>
          <w:b/>
          <w:szCs w:val="22"/>
        </w:rPr>
        <w:t>«Финам Менеджмент»</w:t>
      </w:r>
    </w:p>
    <w:p w14:paraId="56A01064" w14:textId="15834AD1" w:rsidR="006851A4" w:rsidRDefault="00BC5337" w:rsidP="00BC5337">
      <w:pPr>
        <w:ind w:left="5812"/>
        <w:jc w:val="both"/>
        <w:rPr>
          <w:b/>
          <w:szCs w:val="22"/>
        </w:rPr>
      </w:pPr>
      <w:r w:rsidRPr="00BC5337">
        <w:rPr>
          <w:b/>
          <w:szCs w:val="22"/>
        </w:rPr>
        <w:t>№</w:t>
      </w:r>
      <w:sdt>
        <w:sdtPr>
          <w:rPr>
            <w:b/>
            <w:szCs w:val="22"/>
          </w:rPr>
          <w:id w:val="-1252194455"/>
          <w:placeholder>
            <w:docPart w:val="DefaultPlaceholder_-1854013440"/>
          </w:placeholder>
        </w:sdtPr>
        <w:sdtEndPr/>
        <w:sdtContent>
          <w:r w:rsidR="004D4E3A" w:rsidRPr="004D4E3A">
            <w:rPr>
              <w:b/>
              <w:szCs w:val="22"/>
            </w:rPr>
            <w:t>УКФ/ПР/260707/1</w:t>
          </w:r>
        </w:sdtContent>
      </w:sdt>
      <w:r w:rsidRPr="00BC5337">
        <w:rPr>
          <w:b/>
          <w:szCs w:val="22"/>
        </w:rPr>
        <w:t xml:space="preserve"> от </w:t>
      </w:r>
      <w:sdt>
        <w:sdtPr>
          <w:rPr>
            <w:b/>
            <w:szCs w:val="22"/>
          </w:rPr>
          <w:id w:val="1618029366"/>
          <w:placeholder>
            <w:docPart w:val="DefaultPlaceholder_-1854013437"/>
          </w:placeholder>
          <w:date w:fullDate="2026-07-07T00:00:00Z">
            <w:dateFormat w:val="dd.MM.yyyy"/>
            <w:lid w:val="ru-RU"/>
            <w:storeMappedDataAs w:val="dateTime"/>
            <w:calendar w:val="gregorian"/>
          </w:date>
        </w:sdtPr>
        <w:sdtContent>
          <w:r w:rsidR="004D4E3A" w:rsidRPr="004D4E3A">
            <w:rPr>
              <w:b/>
              <w:szCs w:val="22"/>
            </w:rPr>
            <w:t>07.07.2026</w:t>
          </w:r>
        </w:sdtContent>
      </w:sdt>
    </w:p>
    <w:p w14:paraId="06AF55FD" w14:textId="77777777" w:rsidR="00BC5337" w:rsidRPr="002453EB" w:rsidRDefault="00BC5337" w:rsidP="003A12B4">
      <w:pPr>
        <w:ind w:left="6379"/>
        <w:jc w:val="both"/>
        <w:rPr>
          <w:b/>
          <w:szCs w:val="22"/>
        </w:rPr>
      </w:pPr>
    </w:p>
    <w:p w14:paraId="4FC52031" w14:textId="6A58B4C7" w:rsidR="008940E8" w:rsidRDefault="001B0A7F" w:rsidP="00A14B8A">
      <w:pPr>
        <w:pStyle w:val="ConsTitle"/>
        <w:widowControl/>
        <w:jc w:val="center"/>
        <w:rPr>
          <w:rFonts w:ascii="Times New Roman" w:hAnsi="Times New Roman" w:cs="Times New Roman"/>
          <w:sz w:val="22"/>
          <w:szCs w:val="22"/>
        </w:rPr>
      </w:pPr>
      <w:r w:rsidRPr="009F1F7D">
        <w:rPr>
          <w:rFonts w:ascii="Times New Roman" w:hAnsi="Times New Roman" w:cs="Times New Roman"/>
          <w:sz w:val="22"/>
          <w:szCs w:val="22"/>
        </w:rPr>
        <w:t xml:space="preserve">Изменения и дополнения </w:t>
      </w:r>
      <w:r w:rsidR="008940E8">
        <w:rPr>
          <w:rFonts w:ascii="Times New Roman" w:hAnsi="Times New Roman" w:cs="Times New Roman"/>
          <w:sz w:val="22"/>
          <w:szCs w:val="22"/>
        </w:rPr>
        <w:t>№</w:t>
      </w:r>
      <w:r w:rsidR="00750A36">
        <w:rPr>
          <w:rFonts w:ascii="Times New Roman" w:hAnsi="Times New Roman" w:cs="Times New Roman"/>
          <w:sz w:val="22"/>
          <w:szCs w:val="22"/>
        </w:rPr>
        <w:t>1</w:t>
      </w:r>
    </w:p>
    <w:p w14:paraId="3913D867" w14:textId="2BD49440" w:rsidR="0046603A" w:rsidRPr="0046603A" w:rsidRDefault="008940E8" w:rsidP="00A14B8A">
      <w:pPr>
        <w:pStyle w:val="ConsTitle"/>
        <w:widowControl/>
        <w:jc w:val="center"/>
        <w:rPr>
          <w:rFonts w:ascii="Times New Roman" w:hAnsi="Times New Roman" w:cs="Times New Roman"/>
          <w:sz w:val="22"/>
          <w:szCs w:val="22"/>
        </w:rPr>
      </w:pPr>
      <w:r w:rsidRPr="009F1F7D">
        <w:rPr>
          <w:rFonts w:ascii="Times New Roman" w:hAnsi="Times New Roman" w:cs="Times New Roman"/>
          <w:sz w:val="22"/>
          <w:szCs w:val="22"/>
        </w:rPr>
        <w:t>В</w:t>
      </w:r>
      <w:r>
        <w:rPr>
          <w:rFonts w:ascii="Times New Roman" w:hAnsi="Times New Roman" w:cs="Times New Roman"/>
          <w:sz w:val="22"/>
          <w:szCs w:val="22"/>
        </w:rPr>
        <w:t xml:space="preserve"> </w:t>
      </w:r>
      <w:r w:rsidR="0046603A" w:rsidRPr="0046603A">
        <w:rPr>
          <w:rFonts w:ascii="Times New Roman" w:hAnsi="Times New Roman" w:cs="Times New Roman"/>
          <w:sz w:val="22"/>
          <w:szCs w:val="22"/>
        </w:rPr>
        <w:t>Правила</w:t>
      </w:r>
      <w:r w:rsidR="0046603A" w:rsidRPr="00C57B47">
        <w:rPr>
          <w:rFonts w:ascii="Times New Roman" w:hAnsi="Times New Roman" w:cs="Times New Roman"/>
          <w:sz w:val="22"/>
          <w:szCs w:val="22"/>
        </w:rPr>
        <w:t xml:space="preserve"> </w:t>
      </w:r>
      <w:r w:rsidR="0046603A" w:rsidRPr="0046603A">
        <w:rPr>
          <w:rFonts w:ascii="Times New Roman" w:hAnsi="Times New Roman" w:cs="Times New Roman"/>
          <w:sz w:val="22"/>
          <w:szCs w:val="22"/>
        </w:rPr>
        <w:t xml:space="preserve">доверительного управления </w:t>
      </w:r>
    </w:p>
    <w:p w14:paraId="57D3DF03" w14:textId="3804D3BF" w:rsidR="00AD4E90" w:rsidRDefault="00AD4E90" w:rsidP="00AD4E90">
      <w:pPr>
        <w:ind w:left="284" w:right="283"/>
        <w:jc w:val="center"/>
        <w:rPr>
          <w:b/>
          <w:bCs/>
          <w:szCs w:val="22"/>
          <w:lang w:eastAsia="en-US"/>
        </w:rPr>
      </w:pPr>
      <w:r>
        <w:rPr>
          <w:b/>
          <w:bCs/>
          <w:szCs w:val="22"/>
          <w:lang w:eastAsia="en-US"/>
        </w:rPr>
        <w:t>Биржевым паевым инвестиционным</w:t>
      </w:r>
      <w:r w:rsidRPr="00AD4E90">
        <w:rPr>
          <w:b/>
          <w:bCs/>
          <w:szCs w:val="22"/>
          <w:lang w:eastAsia="en-US"/>
        </w:rPr>
        <w:t xml:space="preserve"> фонд</w:t>
      </w:r>
      <w:r>
        <w:rPr>
          <w:b/>
          <w:bCs/>
          <w:szCs w:val="22"/>
          <w:lang w:eastAsia="en-US"/>
        </w:rPr>
        <w:t>ом</w:t>
      </w:r>
      <w:r w:rsidRPr="00AD4E90">
        <w:rPr>
          <w:b/>
          <w:bCs/>
          <w:szCs w:val="22"/>
          <w:lang w:eastAsia="en-US"/>
        </w:rPr>
        <w:t xml:space="preserve"> </w:t>
      </w:r>
    </w:p>
    <w:p w14:paraId="57C76C22" w14:textId="60A42558" w:rsidR="00AD4E90" w:rsidRDefault="00AD4E90" w:rsidP="00AD4E90">
      <w:pPr>
        <w:ind w:left="284" w:right="283"/>
        <w:jc w:val="center"/>
        <w:rPr>
          <w:b/>
          <w:bCs/>
          <w:szCs w:val="22"/>
          <w:lang w:eastAsia="en-US"/>
        </w:rPr>
      </w:pPr>
      <w:r w:rsidRPr="00AD4E90">
        <w:rPr>
          <w:b/>
          <w:bCs/>
          <w:szCs w:val="22"/>
          <w:lang w:eastAsia="en-US"/>
        </w:rPr>
        <w:t>рыночных финансовых инструментов «</w:t>
      </w:r>
      <w:proofErr w:type="spellStart"/>
      <w:r w:rsidR="00C41477" w:rsidRPr="00C41477">
        <w:rPr>
          <w:b/>
          <w:bCs/>
          <w:szCs w:val="22"/>
          <w:lang w:eastAsia="en-US"/>
        </w:rPr>
        <w:t>Финам</w:t>
      </w:r>
      <w:proofErr w:type="spellEnd"/>
      <w:r w:rsidR="00C41477" w:rsidRPr="00C41477">
        <w:rPr>
          <w:b/>
          <w:bCs/>
          <w:szCs w:val="22"/>
          <w:lang w:eastAsia="en-US"/>
        </w:rPr>
        <w:t xml:space="preserve"> Активное управление</w:t>
      </w:r>
      <w:r w:rsidRPr="00AD4E90">
        <w:rPr>
          <w:b/>
          <w:bCs/>
          <w:szCs w:val="22"/>
          <w:lang w:eastAsia="en-US"/>
        </w:rPr>
        <w:t>»</w:t>
      </w:r>
    </w:p>
    <w:p w14:paraId="13FCA779" w14:textId="56C9EEBE" w:rsidR="001B0A7F" w:rsidRPr="00AD4E90" w:rsidRDefault="001B0A7F" w:rsidP="00AD4E90">
      <w:pPr>
        <w:ind w:left="284" w:right="283"/>
        <w:jc w:val="center"/>
        <w:rPr>
          <w:b/>
          <w:bCs/>
          <w:szCs w:val="22"/>
          <w:lang w:eastAsia="en-US"/>
        </w:rPr>
      </w:pPr>
      <w:r w:rsidRPr="009F1F7D">
        <w:rPr>
          <w:bCs/>
          <w:szCs w:val="22"/>
        </w:rPr>
        <w:t xml:space="preserve">(зарегистрированы </w:t>
      </w:r>
      <w:r w:rsidRPr="009F1F7D">
        <w:rPr>
          <w:szCs w:val="22"/>
        </w:rPr>
        <w:t>Банком России</w:t>
      </w:r>
      <w:r w:rsidR="0060292C">
        <w:rPr>
          <w:szCs w:val="22"/>
        </w:rPr>
        <w:t xml:space="preserve"> от </w:t>
      </w:r>
      <w:r w:rsidR="00C41477" w:rsidRPr="00C41477">
        <w:rPr>
          <w:szCs w:val="22"/>
        </w:rPr>
        <w:t xml:space="preserve">14.05.2026 </w:t>
      </w:r>
      <w:r w:rsidR="0060292C">
        <w:rPr>
          <w:szCs w:val="22"/>
        </w:rPr>
        <w:t>за №</w:t>
      </w:r>
      <w:sdt>
        <w:sdtPr>
          <w:rPr>
            <w:szCs w:val="22"/>
          </w:rPr>
          <w:id w:val="-1890413230"/>
          <w:placeholder>
            <w:docPart w:val="DefaultPlaceholder_-1854013440"/>
          </w:placeholder>
        </w:sdtPr>
        <w:sdtEndPr/>
        <w:sdtContent>
          <w:r w:rsidR="00C41477" w:rsidRPr="00C41477">
            <w:rPr>
              <w:szCs w:val="22"/>
            </w:rPr>
            <w:t>7802</w:t>
          </w:r>
        </w:sdtContent>
      </w:sdt>
      <w:r w:rsidRPr="009F1F7D">
        <w:rPr>
          <w:color w:val="000000"/>
          <w:szCs w:val="22"/>
        </w:rPr>
        <w:t>)</w:t>
      </w:r>
    </w:p>
    <w:p w14:paraId="4D04192B" w14:textId="3146676E" w:rsidR="008C0952" w:rsidRDefault="008C0952" w:rsidP="001B0A7F">
      <w:pPr>
        <w:jc w:val="center"/>
        <w:rPr>
          <w:color w:val="000000"/>
          <w:szCs w:val="22"/>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
        <w:gridCol w:w="4773"/>
        <w:gridCol w:w="4961"/>
      </w:tblGrid>
      <w:tr w:rsidR="008C0952" w:rsidRPr="00D224B9" w14:paraId="2C7CF2D3" w14:textId="77777777" w:rsidTr="003A12B4">
        <w:trPr>
          <w:jc w:val="center"/>
        </w:trPr>
        <w:tc>
          <w:tcPr>
            <w:tcW w:w="467" w:type="dxa"/>
          </w:tcPr>
          <w:p w14:paraId="3BA6381E" w14:textId="77777777" w:rsidR="008C0952" w:rsidRPr="00D224B9" w:rsidRDefault="008C0952" w:rsidP="006E55C5">
            <w:pPr>
              <w:spacing w:after="60"/>
              <w:ind w:left="-142" w:right="-175"/>
              <w:jc w:val="center"/>
              <w:rPr>
                <w:szCs w:val="22"/>
              </w:rPr>
            </w:pPr>
            <w:r w:rsidRPr="00D224B9">
              <w:rPr>
                <w:szCs w:val="22"/>
              </w:rPr>
              <w:t>№ п.п.</w:t>
            </w:r>
          </w:p>
        </w:tc>
        <w:tc>
          <w:tcPr>
            <w:tcW w:w="4773" w:type="dxa"/>
            <w:shd w:val="clear" w:color="auto" w:fill="D9D9D9"/>
            <w:vAlign w:val="center"/>
          </w:tcPr>
          <w:p w14:paraId="72C3A412" w14:textId="77777777" w:rsidR="008C0952" w:rsidRPr="00D224B9" w:rsidRDefault="008C0952" w:rsidP="00563B7A">
            <w:pPr>
              <w:pStyle w:val="3"/>
              <w:ind w:right="28"/>
              <w:jc w:val="center"/>
              <w:rPr>
                <w:rFonts w:ascii="Times New Roman" w:hAnsi="Times New Roman" w:cs="Times New Roman"/>
                <w:i w:val="0"/>
                <w:sz w:val="22"/>
                <w:szCs w:val="22"/>
              </w:rPr>
            </w:pPr>
            <w:r w:rsidRPr="00D224B9">
              <w:rPr>
                <w:rFonts w:ascii="Times New Roman" w:hAnsi="Times New Roman" w:cs="Times New Roman"/>
                <w:i w:val="0"/>
                <w:sz w:val="22"/>
                <w:szCs w:val="22"/>
              </w:rPr>
              <w:t>Старая редакция</w:t>
            </w:r>
          </w:p>
        </w:tc>
        <w:tc>
          <w:tcPr>
            <w:tcW w:w="4961" w:type="dxa"/>
            <w:shd w:val="clear" w:color="auto" w:fill="D9D9D9"/>
            <w:vAlign w:val="center"/>
          </w:tcPr>
          <w:p w14:paraId="567A4A30" w14:textId="77777777" w:rsidR="008C0952" w:rsidRPr="00D224B9" w:rsidRDefault="008C0952" w:rsidP="00563B7A">
            <w:pPr>
              <w:pStyle w:val="3"/>
              <w:ind w:right="28"/>
              <w:jc w:val="center"/>
              <w:rPr>
                <w:rFonts w:ascii="Times New Roman" w:hAnsi="Times New Roman" w:cs="Times New Roman"/>
                <w:i w:val="0"/>
                <w:sz w:val="22"/>
                <w:szCs w:val="22"/>
              </w:rPr>
            </w:pPr>
            <w:r w:rsidRPr="00D224B9">
              <w:rPr>
                <w:rFonts w:ascii="Times New Roman" w:hAnsi="Times New Roman" w:cs="Times New Roman"/>
                <w:i w:val="0"/>
                <w:sz w:val="22"/>
                <w:szCs w:val="22"/>
              </w:rPr>
              <w:t>Новая редакция</w:t>
            </w:r>
          </w:p>
        </w:tc>
      </w:tr>
      <w:tr w:rsidR="00A66AFA" w:rsidRPr="00D224B9" w14:paraId="6E2F63B9" w14:textId="77777777" w:rsidTr="003A12B4">
        <w:trPr>
          <w:jc w:val="center"/>
        </w:trPr>
        <w:tc>
          <w:tcPr>
            <w:tcW w:w="467" w:type="dxa"/>
          </w:tcPr>
          <w:p w14:paraId="6D14A785" w14:textId="77777777" w:rsidR="00A66AFA" w:rsidRPr="00D224B9" w:rsidRDefault="00A66AFA" w:rsidP="00DA5FD1">
            <w:pPr>
              <w:numPr>
                <w:ilvl w:val="0"/>
                <w:numId w:val="24"/>
              </w:numPr>
              <w:ind w:left="0" w:firstLine="0"/>
              <w:jc w:val="center"/>
              <w:rPr>
                <w:szCs w:val="22"/>
              </w:rPr>
            </w:pPr>
          </w:p>
        </w:tc>
        <w:tc>
          <w:tcPr>
            <w:tcW w:w="4773" w:type="dxa"/>
          </w:tcPr>
          <w:p w14:paraId="4C6B8B6F" w14:textId="242534B2" w:rsidR="00A66AFA" w:rsidRPr="00C41477" w:rsidRDefault="00C41477" w:rsidP="00A66AFA">
            <w:pPr>
              <w:pStyle w:val="ConsPlusNormal"/>
              <w:ind w:hanging="8"/>
              <w:jc w:val="both"/>
              <w:rPr>
                <w:rFonts w:ascii="Times New Roman" w:hAnsi="Times New Roman" w:cs="Times New Roman"/>
                <w:sz w:val="22"/>
                <w:szCs w:val="22"/>
              </w:rPr>
            </w:pPr>
            <w:r w:rsidRPr="00C41477">
              <w:rPr>
                <w:rFonts w:ascii="Times New Roman" w:hAnsi="Times New Roman" w:cs="Times New Roman"/>
                <w:sz w:val="22"/>
                <w:szCs w:val="22"/>
              </w:rPr>
              <w:t xml:space="preserve">22. </w:t>
            </w:r>
            <w:r w:rsidRPr="00C41477">
              <w:rPr>
                <w:rFonts w:ascii="Times New Roman" w:hAnsi="Times New Roman" w:cs="Times New Roman"/>
                <w:b/>
                <w:bCs/>
                <w:sz w:val="22"/>
                <w:szCs w:val="22"/>
              </w:rPr>
              <w:t>Преимущественным объектом инвестирования являются акции российских акционерных обществ, допущенные к организованным торгам, и фьючерсы.</w:t>
            </w:r>
          </w:p>
        </w:tc>
        <w:tc>
          <w:tcPr>
            <w:tcW w:w="4961" w:type="dxa"/>
          </w:tcPr>
          <w:p w14:paraId="54D0ED60" w14:textId="25FF0F2C" w:rsidR="00A66AFA" w:rsidRPr="00C41477" w:rsidRDefault="00C41477" w:rsidP="00830BCC">
            <w:pPr>
              <w:pStyle w:val="ConsPlusNormal"/>
              <w:spacing w:before="220"/>
              <w:ind w:firstLine="0"/>
              <w:contextualSpacing/>
              <w:jc w:val="both"/>
              <w:rPr>
                <w:rFonts w:ascii="Times New Roman" w:hAnsi="Times New Roman" w:cs="Times New Roman"/>
                <w:b/>
                <w:bCs/>
                <w:sz w:val="22"/>
                <w:szCs w:val="22"/>
              </w:rPr>
            </w:pPr>
            <w:r w:rsidRPr="00C41477">
              <w:rPr>
                <w:rFonts w:ascii="Times New Roman" w:hAnsi="Times New Roman" w:cs="Times New Roman"/>
                <w:b/>
                <w:bCs/>
                <w:sz w:val="22"/>
                <w:szCs w:val="22"/>
              </w:rPr>
              <w:t>22. Преимущественный объект инвестирования не предусмотрен.</w:t>
            </w:r>
          </w:p>
        </w:tc>
      </w:tr>
      <w:tr w:rsidR="00905749" w:rsidRPr="00D224B9" w14:paraId="0D3C5622" w14:textId="77777777" w:rsidTr="003A12B4">
        <w:trPr>
          <w:jc w:val="center"/>
        </w:trPr>
        <w:tc>
          <w:tcPr>
            <w:tcW w:w="467" w:type="dxa"/>
          </w:tcPr>
          <w:p w14:paraId="19752CFC" w14:textId="77777777" w:rsidR="00905749" w:rsidRPr="00D224B9" w:rsidRDefault="00905749" w:rsidP="00DA5FD1">
            <w:pPr>
              <w:numPr>
                <w:ilvl w:val="0"/>
                <w:numId w:val="24"/>
              </w:numPr>
              <w:ind w:left="0" w:firstLine="0"/>
              <w:jc w:val="center"/>
              <w:rPr>
                <w:szCs w:val="22"/>
              </w:rPr>
            </w:pPr>
          </w:p>
        </w:tc>
        <w:tc>
          <w:tcPr>
            <w:tcW w:w="4773" w:type="dxa"/>
          </w:tcPr>
          <w:p w14:paraId="0BBE2007" w14:textId="77777777" w:rsidR="00C41477" w:rsidRPr="00C41477" w:rsidRDefault="00C41477" w:rsidP="00C41477">
            <w:pPr>
              <w:pStyle w:val="ConsPlusNormal"/>
              <w:ind w:firstLine="0"/>
              <w:contextualSpacing/>
              <w:jc w:val="both"/>
              <w:rPr>
                <w:rFonts w:ascii="Times New Roman" w:hAnsi="Times New Roman" w:cs="Times New Roman"/>
                <w:b/>
                <w:sz w:val="22"/>
                <w:szCs w:val="22"/>
              </w:rPr>
            </w:pPr>
            <w:r w:rsidRPr="00C41477">
              <w:rPr>
                <w:rFonts w:ascii="Times New Roman" w:hAnsi="Times New Roman" w:cs="Times New Roman"/>
                <w:b/>
                <w:sz w:val="22"/>
                <w:szCs w:val="22"/>
              </w:rPr>
              <w:t>25. Структура активов фонда должна одновременно соответствовать следующим требованиям.</w:t>
            </w:r>
          </w:p>
          <w:p w14:paraId="17DF5562"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Оценочная стоимость ценных бумаг одного юридического лица, денежные средства в рублях и в иностранной валюте на счетах и во вкладах (депозитах) в таком юридическом лице (если юридическое лицо является кредитной организацией), права требования к такому юридическому лицу в совокупности не должны превышать 10 процентов стоимости активов фонда. Требования настоящего абзаца не распространяются на государственные ценные бумаги Российской Федерации и на права требования к центральному контрагенту.</w:t>
            </w:r>
          </w:p>
          <w:p w14:paraId="6DDB43DA"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Оценочная стоимость ценных бумаг одного субъекта Российской Федерации, муниципального образования не должна превышать 10 процентов стоимости активов фонда.</w:t>
            </w:r>
          </w:p>
          <w:p w14:paraId="0FC6E554"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Для целей настоящего пункта ценные бумаги инвестиционных фондов рассматриваются как совокупность активов, в которые инвестировано имущество соответствующего фонда. Если лицо, обязанное по ценным бумагам инвестиционного фонда, не предоставляет и (или) не раскрывает информацию об активах, в которые инвестировано имущество инвестиционного фонда, такие ценные бумаги могут приобретаться в состав активов инвестиционного фонда для неквалифицированных инвесторов (без учета требования, установленного абзацем вторым настоящего пункта), если в соответствии с личным законом лица, обязанного по ценным </w:t>
            </w:r>
            <w:r w:rsidRPr="00C41477">
              <w:rPr>
                <w:rFonts w:ascii="Times New Roman" w:hAnsi="Times New Roman" w:cs="Times New Roman"/>
                <w:sz w:val="22"/>
                <w:szCs w:val="22"/>
              </w:rPr>
              <w:lastRenderedPageBreak/>
              <w:t>бумагам инвестиционного фонда, такие ценные бумаги могут приобретаться неквалифицированными инвесторами (неограниченным кругом лиц) и в соответствии с правилами доверительного управления (проспектом (правилами) инвестиционного фонда (личным законом лица, обязанного по ценным бумагам инвестиционного фонда) стоимость активов, указанных в абзаце седьмом настоящего пункта, и размер привлеченных заемных средств, подлежащих возврату за счет средств инвестиционного фонда, в совокупности не должны превышать 20 процентов стоимости чистых активов инвестиционного фонда, а также при наличии одного из следующих обстоятельств: в соответствии с требованиями, предъявляемыми к деятельности инвестиционного фонда, или документами, регулирующими инвестиционную деятельность инвестиционного фонда (в том числе инвестиционной декларацией, проспектом эмиссии, правилами доверительного управления), доля ценных бумаг одного юридического лица не должна превышать 10 процентов стоимости активов инвестиционного фонда.</w:t>
            </w:r>
          </w:p>
          <w:p w14:paraId="5C5886FA"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Для целей расчета ограничения, указанного в абзаце втором настоящего пункта, при определении доли оценочной стоимости активов в стоимости активов фонда в сумме денежных средств в рублях и в иностранной валюте на счетах в одном юридическом лице и стоимости прав требований к одному юридическому лицу, возникших на основании договора о брокерском обслуживании с таким лицом (при условии, что указанным договором предусмотрено исполнение таким юридическим лицом обязательств в течение одного рабочего дня с даты предъявления указанных требований к исполнению), составляющих фонд, не учитывается сумма (или ее часть) денежных средств, подлежащих выплате в связи с погашением инвестиционных паев фонда на момент расчета ограничения. При этом общая сумма денежных средств и стоимость прав требований, которые не учитываются при расчете ограничения, указанного в абзаце втором настоящего пункта, в отношении всех денежных средств в рублях и в иностранной валюте на всех счетах, и в отношении всех прав требований к юридическим лицам, возникших на основании указанных договоров о брокерском обслуживании, составляющих фонд, в совокупности не должны превышать общую сумму денежных средств, подлежащих выплате в связи с погашением инвестиционных паев фонда, на момент расчета ограничения.</w:t>
            </w:r>
          </w:p>
          <w:p w14:paraId="4B3F1F41"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lastRenderedPageBreak/>
              <w:t xml:space="preserve">Для целей расчета ограничения, указанного в абзаце втором настоящего пункта, при определении доли оценочной стоимости активов в стоимости активов фонда в сумме денежных средств в рублях и в иностранной валюте на счетах в одном юридическом лице, составляющих фонд, не учитывается сумма (или ее часть) денежных средств, находящихся на указанных счетах (одном из указанных счетов) и включенных в фонд при выдаче инвестиционных паев, в течение не более 2 (двух) рабочих дней с даты указанного включения. </w:t>
            </w:r>
          </w:p>
          <w:p w14:paraId="4F9ED2CF"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Стоимость лотов производных финансовых инструментов (если базовым (базисным) активом производного финансового инструмента является другой производный финансовый инструмент - стоимость лотов таких производных финансовых инструментов), стоимость ценных бумаг (сумма денежных средств), полученных управляющей компанией по первой части договора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размер принятых обязательств по поставке активов по иным сделкам, дата исполнения которых не ранее 4 (четырех) рабочих дней с даты заключения сделки, и заемные средства, предусмотренные абзацем 6 пункта 30 настоящих Правил, в совокупности не должны превышать 40% (сорока процентов) стоимости чистых активов фонда.</w:t>
            </w:r>
          </w:p>
          <w:p w14:paraId="1B0A3302"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На дату заключения сделок с производными финансовыми инструментами, договоров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договоров займа, кредитных договоров или сделок, дата исполнения которых не ранее 4 (четырех) рабочих дней с даты заключения сделки, совокупная стоимость активов, указанных в абзаце седьмом настоящего подпункта, с учетом заключенных ранее договоров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и сделок, указанных в настоящем абзаце, и заемных средств, предусмотренных абзацем 6 пункта 30 настоящих Правил, не должна превышать 20% (двадцати процентов) стоимости чистых активов фонда.</w:t>
            </w:r>
          </w:p>
          <w:p w14:paraId="7153851A"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Для целей настоящего подпункта производные финансовые инструменты учитываются в объеме приобретаемых (отчуждаемых) базовых (базисных) активов таких производных финансовых инструментов (если базовым (базисным) активом является другой производный финансовый инструмент (индекс) – как базовые (базисные) активы таких производных финансовых инструментов (активы, входящие в список для расчета такого индекса) и открытой позиции, скорректированной по результатам клиринга.</w:t>
            </w:r>
          </w:p>
          <w:p w14:paraId="2C262B2F"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Договоры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заключаются, если они </w:t>
            </w:r>
            <w:r w:rsidRPr="00C41477">
              <w:rPr>
                <w:rFonts w:ascii="Times New Roman" w:hAnsi="Times New Roman" w:cs="Times New Roman"/>
                <w:sz w:val="22"/>
                <w:szCs w:val="22"/>
              </w:rPr>
              <w:lastRenderedPageBreak/>
              <w:t xml:space="preserve">соответствуют одному из следующих условий: контрагентом по договору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является центральный контрагент либо указанный договор заключается на условиях поставки против платежа и предусмотренной договором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обязанности каждой из сторон при изменении цены ценных бумаг, переданных по договору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уплачивать другой стороне денежные суммы и (или) передавать ценные бумаги в соответствии с пунктом 14 статьи 51.3 Федерального закона от 22 апреля 1996 года № 39-ФЗ «О рынке ценных бумаг», при условии, что предметом договора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могут быть только активы, включаемые в состав активов фонда, в соответствии с настоящими Правилами.</w:t>
            </w:r>
          </w:p>
          <w:p w14:paraId="4F5383EA"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Для целей абзаца седьмого и восьмого настоящего пункта не учитываются договоры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по которым управляющая компания является покупателем по первой части договора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и которые предусматривают невозможность распоряжения приобретенными ценными бумагами, за исключением их возврата по второй части такого договора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а также опционные договоры, по которым управляющая компания имеет право требовать от контрагента покупки или продажи базового (базисного) актива.</w:t>
            </w:r>
          </w:p>
          <w:p w14:paraId="51F879AE"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Доля стоимости инструментов денежного рынка со сроком до погашения (закрытия) менее 3 (трех) месяцев, инвестиционных паев биржевых паевых инвестиционных фондов (при условии, что не возникли основания прекращения указанных фондов и не приостановлено погашение инвестиционных паев указанных фондов), прав требований к юридическому лицу, возникших на основании договора о брокерском обслуживании с таким лицом (при условии, что указанным договором предусмотрено исполнение таким юридическим лицом обязательств в течение одного рабочего дня с даты предъявления указанных требований к исполнению), облигаций с фиксированным купонным доходом, рейтинг долгосрочной кредитоспособности выпуска (при отсутствии рейтинга выпуска - рейтинг эмитента) которых по классификации хотя бы одного из рейтинговых агентств, включенных в установленный Советом директоров Банка России перечень рейтинговых агентств, отличается от рейтинга в соответствующей валюте страны - эмитента валюты, в которой номинированы указанные облигации (для облигаций, номинированных в валюте государств - членов валютного союза, - от максимального рейтинга среди государств - членов валютного союза), не более чем на одну ступень, ценных бумаг, входящих в расчет </w:t>
            </w:r>
            <w:r w:rsidRPr="00C41477">
              <w:rPr>
                <w:rFonts w:ascii="Times New Roman" w:hAnsi="Times New Roman" w:cs="Times New Roman"/>
                <w:sz w:val="22"/>
                <w:szCs w:val="22"/>
              </w:rPr>
              <w:lastRenderedPageBreak/>
              <w:t>фондовых индексов, указанных в приложении к Указанию Банка России от 05.09.2016 № 4129-У «О составе и структуре активов акционерных инвестиционных фондов и активов паевых инвестиционных фондов»</w:t>
            </w:r>
            <w:r w:rsidRPr="00C41477" w:rsidDel="006176C5">
              <w:rPr>
                <w:rFonts w:ascii="Times New Roman" w:hAnsi="Times New Roman" w:cs="Times New Roman"/>
                <w:sz w:val="22"/>
                <w:szCs w:val="22"/>
              </w:rPr>
              <w:t xml:space="preserve"> </w:t>
            </w:r>
            <w:r w:rsidRPr="00C41477">
              <w:rPr>
                <w:rFonts w:ascii="Times New Roman" w:hAnsi="Times New Roman" w:cs="Times New Roman"/>
                <w:sz w:val="22"/>
                <w:szCs w:val="22"/>
              </w:rPr>
              <w:t>, от стоимости чистых активов фонда в совокупности должна превышать большую из следующих величин:</w:t>
            </w:r>
          </w:p>
          <w:p w14:paraId="4460E19A" w14:textId="77777777" w:rsidR="00C41477" w:rsidRPr="00C41477" w:rsidRDefault="00C41477" w:rsidP="00C41477">
            <w:pPr>
              <w:pStyle w:val="ConsPlusNormal"/>
              <w:numPr>
                <w:ilvl w:val="0"/>
                <w:numId w:val="33"/>
              </w:numPr>
              <w:adjustRightInd/>
              <w:ind w:left="0"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3% (три процента);</w:t>
            </w:r>
          </w:p>
          <w:p w14:paraId="53BB9F2B" w14:textId="77777777" w:rsidR="00C41477" w:rsidRPr="00C41477" w:rsidRDefault="00C41477" w:rsidP="00C41477">
            <w:pPr>
              <w:pStyle w:val="ConsPlusNormal"/>
              <w:numPr>
                <w:ilvl w:val="0"/>
                <w:numId w:val="33"/>
              </w:numPr>
              <w:adjustRightInd/>
              <w:ind w:left="0"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величину чистого месячного оттока инвестиционных паев, являющуюся минимальной из шести наибольших величин чистых месячных оттоков инвестиционных паев за последние 36 (тридцать шесть) календарных месяцев. </w:t>
            </w:r>
          </w:p>
          <w:p w14:paraId="5FD626BC"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Величина чистого месячного оттока инвестиционных паев определяется как отношение в процентах разности количества инвестиционных паев, в отношении которых по лицевым счетам в реестре владельцев инвестиционных паев были внесены расходные записи в результате их погашения, и количества инвестиционных паев, в отношении которых по лицевым счетам в реестре владельцев инвестиционных паев были внесены приходные записи в результате их выдачи, за календарный месяц к общему количеству выданных инвестиционных паев по данным реестра владельцев инвестиционных паев на последний день предыдущего календарного месяца.</w:t>
            </w:r>
          </w:p>
          <w:p w14:paraId="3598ECA3"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Для целей настоящего пункта учитываются денежные средства, распоряжение которыми не ограничено на основании решения органа государственной власти, на которые не установлено обременение, ценные бумаги, права по продаже или иной передаче по договору которых не ограничены.</w:t>
            </w:r>
          </w:p>
          <w:p w14:paraId="46BB0A19"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Для целей настоящего пункта используется рейтинг долгосрочной кредитоспособности в той же валюте (национальной и (или) иностранной), в какой предполагается осуществление выплат по указанным ценным бумагам согласно решению о выпуске таких ценных бумаг.</w:t>
            </w:r>
          </w:p>
          <w:p w14:paraId="107F359B"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sz w:val="22"/>
                <w:szCs w:val="22"/>
              </w:rPr>
              <w:t xml:space="preserve"> </w:t>
            </w:r>
            <w:r w:rsidRPr="00C41477">
              <w:rPr>
                <w:rFonts w:ascii="Times New Roman" w:hAnsi="Times New Roman" w:cs="Times New Roman"/>
                <w:sz w:val="22"/>
                <w:szCs w:val="22"/>
              </w:rPr>
              <w:t>Требования абзацев второго и третьего настоящего пункта не применяются до даты завершения (окончания) формирования фонда и в течение 1 (одного) месяца после этой даты.</w:t>
            </w:r>
          </w:p>
          <w:p w14:paraId="7B382A96"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Требования настоящего пункта не применяются с даты возникновения основания прекращения фонда.</w:t>
            </w:r>
          </w:p>
          <w:p w14:paraId="3F4B8EBF" w14:textId="530316EA" w:rsidR="00905749"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Не менее двух третей рабочих дней (за исключением периода до даты завершения (окончания) формирования фонда, 1 (одного) месяца с даты завершения (окончания) формирования фонда, а также периода с даты возникновения основания прекращения фонда) в течение каждого календарного квартала </w:t>
            </w:r>
            <w:r w:rsidRPr="00C41477">
              <w:rPr>
                <w:rFonts w:ascii="Times New Roman" w:hAnsi="Times New Roman" w:cs="Times New Roman"/>
                <w:sz w:val="22"/>
                <w:szCs w:val="22"/>
              </w:rPr>
              <w:lastRenderedPageBreak/>
              <w:t>совокупная стоимость преимущественных объектов инвестирования не должна быть менее 80 процентов стоимости активов фонда. При этом рабочим днем в целях настоящих Правил считается день, который не признается в соответствии с законодательством Российской Федерации выходным и (или) нерабочим праздничным днем.</w:t>
            </w:r>
          </w:p>
        </w:tc>
        <w:tc>
          <w:tcPr>
            <w:tcW w:w="4961" w:type="dxa"/>
          </w:tcPr>
          <w:p w14:paraId="6A747CA9" w14:textId="77777777" w:rsidR="00C41477" w:rsidRPr="00C41477" w:rsidRDefault="00C41477" w:rsidP="00C41477">
            <w:pPr>
              <w:pStyle w:val="ConsPlusNormal"/>
              <w:ind w:firstLine="0"/>
              <w:contextualSpacing/>
              <w:jc w:val="both"/>
              <w:rPr>
                <w:rFonts w:ascii="Times New Roman" w:hAnsi="Times New Roman" w:cs="Times New Roman"/>
                <w:b/>
                <w:sz w:val="22"/>
                <w:szCs w:val="22"/>
              </w:rPr>
            </w:pPr>
            <w:r w:rsidRPr="00C41477">
              <w:rPr>
                <w:rFonts w:ascii="Times New Roman" w:hAnsi="Times New Roman" w:cs="Times New Roman"/>
                <w:b/>
                <w:sz w:val="22"/>
                <w:szCs w:val="22"/>
              </w:rPr>
              <w:lastRenderedPageBreak/>
              <w:t>25. Структура активов фонда должна одновременно соответствовать следующим требованиям.</w:t>
            </w:r>
          </w:p>
          <w:p w14:paraId="11DF3C3C"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Оценочная стоимость ценных бумаг одного юридического лица, денежные средства в рублях и в иностранной валюте на счетах и во вкладах (депозитах) в таком юридическом лице (если юридическое лицо является кредитной организацией), права требования к такому юридическому лицу в совокупности не должны превышать 10 процентов стоимости активов фонда. Требования настоящего абзаца не распространяются на государственные ценные бумаги Российской Федерации и на права требования к центральному контрагенту.</w:t>
            </w:r>
          </w:p>
          <w:p w14:paraId="3C167F4C"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Оценочная стоимость ценных бумаг одного субъекта Российской Федерации, муниципального образования не должна превышать 10 процентов стоимости активов фонда.</w:t>
            </w:r>
          </w:p>
          <w:p w14:paraId="461E549C"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Для целей настоящего пункта ценные бумаги инвестиционных фондов рассматриваются как совокупность активов, в которые инвестировано имущество соответствующего фонда. Если лицо, обязанное по ценным бумагам инвестиционного фонда, не предоставляет и (или) не раскрывает информацию об активах, в которые инвестировано имущество инвестиционного фонда, такие ценные бумаги могут приобретаться в состав активов инвестиционного фонда для неквалифицированных инвесторов (без учета требования, установленного абзацем вторым настоящего пункта), если в соответствии с личным законом лица, обязанного по ценным бумагам инвестиционного фонда, такие ценные бумаги могут приобретаться неквалифицированными </w:t>
            </w:r>
            <w:r w:rsidRPr="00C41477">
              <w:rPr>
                <w:rFonts w:ascii="Times New Roman" w:hAnsi="Times New Roman" w:cs="Times New Roman"/>
                <w:sz w:val="22"/>
                <w:szCs w:val="22"/>
              </w:rPr>
              <w:lastRenderedPageBreak/>
              <w:t>инвесторами (неограниченным кругом лиц) и в соответствии с правилами доверительного управления (проспектом (правилами) инвестиционного фонда (личным законом лица, обязанного по ценным бумагам инвестиционного фонда) стоимость активов, указанных в абзаце седьмом настоящего пункта, и размер привлеченных заемных средств, подлежащих возврату за счет средств инвестиционного фонда, в совокупности не должны превышать 20 процентов стоимости чистых активов инвестиционного фонда, а также при наличии одного из следующих обстоятельств: в соответствии с требованиями, предъявляемыми к деятельности инвестиционного фонда, или документами, регулирующими инвестиционную деятельность инвестиционного фонда (в том числе инвестиционной декларацией, проспектом эмиссии, правилами доверительного управления), доля ценных бумаг одного юридического лица не должна превышать 10 процентов стоимости активов инвестиционного фонда.</w:t>
            </w:r>
          </w:p>
          <w:p w14:paraId="14A0C1E3"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Для целей расчета ограничения, указанного в абзаце втором настоящего пункта, при определении доли оценочной стоимости активов в стоимости активов фонда в сумме денежных средств в рублях и в иностранной валюте на счетах в одном юридическом лице и стоимости прав требований к одному юридическому лицу, возникших на основании договора о брокерском обслуживании с таким лицом (при условии, что указанным договором предусмотрено исполнение таким юридическим лицом обязательств в течение одного рабочего дня с даты предъявления указанных требований к исполнению), составляющих фонд, не учитывается сумма (или ее часть) денежных средств, подлежащих выплате в связи с погашением инвестиционных паев фонда на момент расчета ограничения. При этом общая сумма денежных средств и стоимость прав требований, которые не учитываются при расчете ограничения, указанного в абзаце втором настоящего пункта, в отношении всех денежных средств в рублях и в иностранной валюте на всех счетах, и в отношении всех прав требований к юридическим лицам, возникших на основании указанных договоров о брокерском обслуживании, составляющих фонд, в совокупности не должны превышать общую сумму денежных средств, подлежащих выплате в связи с погашением инвестиционных паев фонда, на момент расчета ограничения.</w:t>
            </w:r>
          </w:p>
          <w:p w14:paraId="763AD370"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Для целей расчета ограничения, указанного в абзаце втором настоящего пункта, при определении доли оценочной стоимости активов в стоимости активов фонда в сумме денежных средств в рублях и в иностранной валюте на счетах </w:t>
            </w:r>
            <w:r w:rsidRPr="00C41477">
              <w:rPr>
                <w:rFonts w:ascii="Times New Roman" w:hAnsi="Times New Roman" w:cs="Times New Roman"/>
                <w:sz w:val="22"/>
                <w:szCs w:val="22"/>
              </w:rPr>
              <w:lastRenderedPageBreak/>
              <w:t xml:space="preserve">в одном юридическом лице, составляющих фонд, не учитывается сумма (или ее часть) денежных средств, находящихся на указанных счетах (одном из указанных счетов) и включенных в фонд при выдаче инвестиционных паев, в течение не более 2 (двух) рабочих дней с даты указанного включения. </w:t>
            </w:r>
          </w:p>
          <w:p w14:paraId="49CE75CF"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Стоимость лотов производных финансовых инструментов (если базовым (базисным) активом производного финансового инструмента является другой производный финансовый инструмент - стоимость лотов таких производных финансовых инструментов), стоимость ценных бумаг (сумма денежных средств), полученных управляющей компанией по первой части договора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размер принятых обязательств по поставке активов по иным сделкам, дата исполнения которых не ранее 4 (четырех) рабочих дней с даты заключения сделки, и заемные средства, предусмотренные абзацем 6 пункта 30 настоящих Правил, в совокупности не должны превышать 40% (сорока процентов) стоимости чистых активов фонда.</w:t>
            </w:r>
          </w:p>
          <w:p w14:paraId="108A6570"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На дату заключения сделок с производными финансовыми инструментами, договоров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договоров займа, кредитных договоров или сделок, дата исполнения которых не ранее 4 (четырех) рабочих дней с даты заключения сделки, совокупная стоимость активов, указанных в абзаце седьмом настоящего подпункта, с учетом заключенных ранее договоров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и сделок, указанных в настоящем абзаце, и заемных средств, предусмотренных абзацем 6 пункта 30 настоящих Правил, не должна превышать 20% (двадцати процентов) стоимости чистых активов фонда.</w:t>
            </w:r>
          </w:p>
          <w:p w14:paraId="286227FF"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Для целей настоящего подпункта производные финансовые инструменты учитываются в объеме приобретаемых (отчуждаемых) базовых (базисных) активов таких производных финансовых инструментов (если базовым (базисным) активом является другой производный финансовый инструмент (индекс) – как базовые (базисные) активы таких производных финансовых инструментов (активы, входящие в список для расчета такого индекса) и открытой позиции, скорректированной по результатам клиринга.</w:t>
            </w:r>
          </w:p>
          <w:p w14:paraId="58A51EDA"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Договоры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заключаются, если они соответствуют одному из следующих условий: контрагентом по договору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является центральный контрагент либо указанный договор заключается на условиях поставки против платежа и предусмотренной договором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обязанности каждой из сторон при изменении цены ценных бумаг, переданных по договору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уплачивать другой стороне денежные суммы и (или) передавать ценные бумаги в соответствии с пунктом 14 статьи 51.3 Федерального закона от 22 апреля 1996 года № 39-ФЗ «О рынке ценных </w:t>
            </w:r>
            <w:r w:rsidRPr="00C41477">
              <w:rPr>
                <w:rFonts w:ascii="Times New Roman" w:hAnsi="Times New Roman" w:cs="Times New Roman"/>
                <w:sz w:val="22"/>
                <w:szCs w:val="22"/>
              </w:rPr>
              <w:lastRenderedPageBreak/>
              <w:t xml:space="preserve">бумаг», при условии, что предметом договора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могут быть только активы, включаемые в состав активов фонда, в соответствии с настоящими Правилами.</w:t>
            </w:r>
          </w:p>
          <w:p w14:paraId="519D7A65"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Для целей абзаца седьмого и восьмого настоящего пункта не учитываются договоры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по которым управляющая компания является покупателем по первой части договора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xml:space="preserve">, и которые предусматривают невозможность распоряжения приобретенными ценными бумагами, за исключением их возврата по второй части такого договора </w:t>
            </w:r>
            <w:proofErr w:type="spellStart"/>
            <w:r w:rsidRPr="00C41477">
              <w:rPr>
                <w:rFonts w:ascii="Times New Roman" w:hAnsi="Times New Roman" w:cs="Times New Roman"/>
                <w:sz w:val="22"/>
                <w:szCs w:val="22"/>
              </w:rPr>
              <w:t>репо</w:t>
            </w:r>
            <w:proofErr w:type="spellEnd"/>
            <w:r w:rsidRPr="00C41477">
              <w:rPr>
                <w:rFonts w:ascii="Times New Roman" w:hAnsi="Times New Roman" w:cs="Times New Roman"/>
                <w:sz w:val="22"/>
                <w:szCs w:val="22"/>
              </w:rPr>
              <w:t>, а также опционные договоры, по которым управляющая компания имеет право требовать от контрагента покупки или продажи базового (базисного) актива.</w:t>
            </w:r>
          </w:p>
          <w:p w14:paraId="216D4F6F"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Доля стоимости инструментов денежного рынка со сроком до погашения (закрытия) менее 3 (трех) месяцев, инвестиционных паев биржевых паевых инвестиционных фондов (при условии, что не возникли основания прекращения указанных фондов и не приостановлено погашение инвестиционных паев указанных фондов), прав требований к юридическому лицу, возникших на основании договора о брокерском обслуживании с таким лицом (при условии, что указанным договором предусмотрено исполнение таким юридическим лицом обязательств в течение одного рабочего дня с даты предъявления указанных требований к исполнению), облигаций с фиксированным купонным доходом, рейтинг долгосрочной кредитоспособности выпуска (при отсутствии рейтинга выпуска - рейтинг эмитента) которых по классификации хотя бы одного из рейтинговых агентств, включенных в установленный Советом директоров Банка России перечень рейтинговых агентств, отличается от рейтинга в соответствующей валюте страны - эмитента валюты, в которой номинированы указанные облигации (для облигаций, номинированных в валюте государств - членов валютного союза, - от максимального рейтинга среди государств - членов валютного союза), не более чем на одну ступень, ценных бумаг, входящих в расчет фондовых индексов, указанных в приложении к Указанию Банка России от 05.09.2016 № 4129-У «О составе и структуре активов акционерных инвестиционных фондов и активов паевых инвестиционных фондов»</w:t>
            </w:r>
            <w:r w:rsidRPr="00C41477" w:rsidDel="006176C5">
              <w:rPr>
                <w:rFonts w:ascii="Times New Roman" w:hAnsi="Times New Roman" w:cs="Times New Roman"/>
                <w:sz w:val="22"/>
                <w:szCs w:val="22"/>
              </w:rPr>
              <w:t xml:space="preserve"> </w:t>
            </w:r>
            <w:r w:rsidRPr="00C41477">
              <w:rPr>
                <w:rFonts w:ascii="Times New Roman" w:hAnsi="Times New Roman" w:cs="Times New Roman"/>
                <w:sz w:val="22"/>
                <w:szCs w:val="22"/>
              </w:rPr>
              <w:t>, от стоимости чистых активов фонда в совокупности должна превышать большую из следующих величин:</w:t>
            </w:r>
          </w:p>
          <w:p w14:paraId="798D0786" w14:textId="77777777" w:rsidR="00C41477" w:rsidRPr="00C41477" w:rsidRDefault="00C41477" w:rsidP="00C41477">
            <w:pPr>
              <w:pStyle w:val="ConsPlusNormal"/>
              <w:numPr>
                <w:ilvl w:val="0"/>
                <w:numId w:val="33"/>
              </w:numPr>
              <w:adjustRightInd/>
              <w:ind w:left="0"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3% (три процента);</w:t>
            </w:r>
          </w:p>
          <w:p w14:paraId="32669458" w14:textId="77777777" w:rsidR="00C41477" w:rsidRPr="00C41477" w:rsidRDefault="00C41477" w:rsidP="00C41477">
            <w:pPr>
              <w:pStyle w:val="ConsPlusNormal"/>
              <w:numPr>
                <w:ilvl w:val="0"/>
                <w:numId w:val="33"/>
              </w:numPr>
              <w:adjustRightInd/>
              <w:ind w:left="0"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 xml:space="preserve">величину чистого месячного оттока инвестиционных паев, являющуюся минимальной из шести наибольших величин чистых месячных оттоков инвестиционных паев за последние 36 (тридцать шесть) календарных месяцев. </w:t>
            </w:r>
          </w:p>
          <w:p w14:paraId="2455C6C4"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lastRenderedPageBreak/>
              <w:t>Величина чистого месячного оттока инвестиционных паев определяется как отношение в процентах разности количества инвестиционных паев, в отношении которых по лицевым счетам в реестре владельцев инвестиционных паев были внесены расходные записи в результате их погашения, и количества инвестиционных паев, в отношении которых по лицевым счетам в реестре владельцев инвестиционных паев были внесены приходные записи в результате их выдачи, за календарный месяц к общему количеству выданных инвестиционных паев по данным реестра владельцев инвестиционных паев на последний день предыдущего календарного месяца.</w:t>
            </w:r>
          </w:p>
          <w:p w14:paraId="09B71C08"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Для целей настоящего пункта учитываются денежные средства, распоряжение которыми не ограничено на основании решения органа государственной власти, на которые не установлено обременение, ценные бумаги, права по продаже или иной передаче по договору которых не ограничены.</w:t>
            </w:r>
          </w:p>
          <w:p w14:paraId="50BB15AE"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Для целей настоящего пункта используется рейтинг долгосрочной кредитоспособности в той же валюте (национальной и (или) иностранной), в какой предполагается осуществление выплат по указанным ценным бумагам согласно решению о выпуске таких ценных бумаг.</w:t>
            </w:r>
          </w:p>
          <w:p w14:paraId="343B8596" w14:textId="77777777" w:rsidR="00C41477" w:rsidRPr="00C41477" w:rsidRDefault="00C41477" w:rsidP="00C41477">
            <w:pPr>
              <w:pStyle w:val="ConsPlusNormal"/>
              <w:ind w:firstLine="0"/>
              <w:contextualSpacing/>
              <w:jc w:val="both"/>
              <w:rPr>
                <w:rFonts w:ascii="Times New Roman" w:hAnsi="Times New Roman" w:cs="Times New Roman"/>
                <w:sz w:val="22"/>
                <w:szCs w:val="22"/>
              </w:rPr>
            </w:pPr>
            <w:r w:rsidRPr="00C41477">
              <w:rPr>
                <w:sz w:val="22"/>
                <w:szCs w:val="22"/>
              </w:rPr>
              <w:t xml:space="preserve"> </w:t>
            </w:r>
            <w:r w:rsidRPr="00C41477">
              <w:rPr>
                <w:rFonts w:ascii="Times New Roman" w:hAnsi="Times New Roman" w:cs="Times New Roman"/>
                <w:sz w:val="22"/>
                <w:szCs w:val="22"/>
              </w:rPr>
              <w:t>Требования абзацев второго и третьего настоящего пункта не применяются до даты завершения (окончания) формирования фонда и в течение 1 (одного) месяца после этой даты.</w:t>
            </w:r>
          </w:p>
          <w:p w14:paraId="50B00F00" w14:textId="7F7D1EFE" w:rsidR="00905749" w:rsidRPr="00C41477" w:rsidRDefault="00C41477" w:rsidP="00C41477">
            <w:pPr>
              <w:pStyle w:val="ConsPlusNormal"/>
              <w:ind w:firstLine="0"/>
              <w:contextualSpacing/>
              <w:jc w:val="both"/>
              <w:rPr>
                <w:rFonts w:ascii="Times New Roman" w:hAnsi="Times New Roman" w:cs="Times New Roman"/>
                <w:sz w:val="22"/>
                <w:szCs w:val="22"/>
              </w:rPr>
            </w:pPr>
            <w:r w:rsidRPr="00C41477">
              <w:rPr>
                <w:rFonts w:ascii="Times New Roman" w:hAnsi="Times New Roman" w:cs="Times New Roman"/>
                <w:sz w:val="22"/>
                <w:szCs w:val="22"/>
              </w:rPr>
              <w:t>Требования настоящего пункта не применяются с даты возникновения основания прекращения фонда.</w:t>
            </w:r>
          </w:p>
        </w:tc>
      </w:tr>
    </w:tbl>
    <w:p w14:paraId="0FB70E59" w14:textId="493FFA12" w:rsidR="00B43CAA" w:rsidRDefault="00B43CAA" w:rsidP="00BB7CCF">
      <w:pPr>
        <w:tabs>
          <w:tab w:val="left" w:pos="3435"/>
        </w:tabs>
        <w:ind w:firstLine="567"/>
        <w:rPr>
          <w:b/>
          <w:szCs w:val="22"/>
        </w:rPr>
      </w:pPr>
    </w:p>
    <w:p w14:paraId="0580C6EB" w14:textId="799AFF1E" w:rsidR="00200DF2" w:rsidRPr="008C0952" w:rsidRDefault="008940E8" w:rsidP="00200DF2">
      <w:pPr>
        <w:tabs>
          <w:tab w:val="left" w:pos="3435"/>
        </w:tabs>
        <w:ind w:firstLine="567"/>
        <w:rPr>
          <w:b/>
          <w:szCs w:val="22"/>
        </w:rPr>
      </w:pPr>
      <w:r>
        <w:rPr>
          <w:b/>
          <w:szCs w:val="22"/>
        </w:rPr>
        <w:t>Г</w:t>
      </w:r>
      <w:r w:rsidR="006E250E">
        <w:rPr>
          <w:b/>
          <w:szCs w:val="22"/>
        </w:rPr>
        <w:t>енеральн</w:t>
      </w:r>
      <w:r>
        <w:rPr>
          <w:b/>
          <w:szCs w:val="22"/>
        </w:rPr>
        <w:t>ый</w:t>
      </w:r>
      <w:r w:rsidR="00200DF2" w:rsidRPr="008C0952">
        <w:rPr>
          <w:b/>
          <w:szCs w:val="22"/>
        </w:rPr>
        <w:t xml:space="preserve"> директор</w:t>
      </w:r>
    </w:p>
    <w:p w14:paraId="385BDA6C" w14:textId="64BEBF71" w:rsidR="00200DF2" w:rsidRPr="008C0952" w:rsidRDefault="00200DF2" w:rsidP="00200DF2">
      <w:pPr>
        <w:tabs>
          <w:tab w:val="left" w:pos="3435"/>
        </w:tabs>
        <w:ind w:firstLine="567"/>
        <w:rPr>
          <w:b/>
          <w:color w:val="000000"/>
          <w:szCs w:val="22"/>
        </w:rPr>
      </w:pPr>
      <w:r>
        <w:rPr>
          <w:b/>
          <w:szCs w:val="22"/>
        </w:rPr>
        <w:t xml:space="preserve">ООО «УК </w:t>
      </w:r>
      <w:r w:rsidRPr="008C0952">
        <w:rPr>
          <w:b/>
          <w:szCs w:val="22"/>
        </w:rPr>
        <w:t>«Финам Менеджмент»</w:t>
      </w:r>
      <w:r>
        <w:rPr>
          <w:b/>
          <w:szCs w:val="22"/>
        </w:rPr>
        <w:tab/>
      </w:r>
      <w:r>
        <w:rPr>
          <w:b/>
          <w:szCs w:val="22"/>
        </w:rPr>
        <w:tab/>
      </w:r>
      <w:r>
        <w:rPr>
          <w:b/>
          <w:szCs w:val="22"/>
        </w:rPr>
        <w:tab/>
      </w:r>
      <w:r>
        <w:rPr>
          <w:b/>
          <w:szCs w:val="22"/>
        </w:rPr>
        <w:tab/>
      </w:r>
      <w:r>
        <w:rPr>
          <w:b/>
          <w:szCs w:val="22"/>
        </w:rPr>
        <w:tab/>
      </w:r>
      <w:r>
        <w:rPr>
          <w:b/>
          <w:szCs w:val="22"/>
        </w:rPr>
        <w:tab/>
      </w:r>
      <w:r>
        <w:rPr>
          <w:b/>
          <w:szCs w:val="22"/>
        </w:rPr>
        <w:tab/>
      </w:r>
      <w:r w:rsidRPr="008C0952">
        <w:rPr>
          <w:b/>
          <w:szCs w:val="22"/>
        </w:rPr>
        <w:t>/</w:t>
      </w:r>
      <w:r w:rsidR="008940E8">
        <w:rPr>
          <w:b/>
          <w:szCs w:val="22"/>
        </w:rPr>
        <w:t>А.П. Бирман</w:t>
      </w:r>
      <w:r w:rsidRPr="008C0952">
        <w:rPr>
          <w:b/>
          <w:szCs w:val="22"/>
        </w:rPr>
        <w:t>/</w:t>
      </w:r>
    </w:p>
    <w:sectPr w:rsidR="00200DF2" w:rsidRPr="008C0952" w:rsidSect="000A3AEA">
      <w:footerReference w:type="even" r:id="rId8"/>
      <w:footerReference w:type="default" r:id="rId9"/>
      <w:headerReference w:type="first" r:id="rId10"/>
      <w:pgSz w:w="11906" w:h="16838"/>
      <w:pgMar w:top="1079" w:right="566" w:bottom="1276" w:left="1134" w:header="426"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8DDC1" w14:textId="77777777" w:rsidR="00F64388" w:rsidRDefault="00F64388">
      <w:r>
        <w:separator/>
      </w:r>
    </w:p>
  </w:endnote>
  <w:endnote w:type="continuationSeparator" w:id="0">
    <w:p w14:paraId="7B99BB9D" w14:textId="77777777" w:rsidR="00F64388" w:rsidRDefault="00F64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ragmaticaCTT">
    <w:altName w:val="Arial"/>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A0505" w14:textId="77777777" w:rsidR="006E55C5" w:rsidRDefault="006E55C5" w:rsidP="00DE24FC">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342F8FAC" w14:textId="77777777" w:rsidR="006E55C5" w:rsidRDefault="006E55C5" w:rsidP="00DE24FC">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551728"/>
      <w:docPartObj>
        <w:docPartGallery w:val="Page Numbers (Bottom of Page)"/>
        <w:docPartUnique/>
      </w:docPartObj>
    </w:sdtPr>
    <w:sdtEndPr/>
    <w:sdtContent>
      <w:p w14:paraId="7A6EBEEF" w14:textId="29067EB4" w:rsidR="006E55C5" w:rsidRDefault="00BB7CCF" w:rsidP="009E3121">
        <w:pPr>
          <w:pStyle w:val="a8"/>
          <w:jc w:val="center"/>
        </w:pPr>
        <w:r>
          <w:fldChar w:fldCharType="begin"/>
        </w:r>
        <w:r>
          <w:instrText>PAGE   \* MERGEFORMAT</w:instrText>
        </w:r>
        <w:r>
          <w:fldChar w:fldCharType="separate"/>
        </w:r>
        <w:r w:rsidR="00E346D3">
          <w:rPr>
            <w:noProof/>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03DBA" w14:textId="77777777" w:rsidR="00F64388" w:rsidRDefault="00F64388">
      <w:r>
        <w:separator/>
      </w:r>
    </w:p>
  </w:footnote>
  <w:footnote w:type="continuationSeparator" w:id="0">
    <w:p w14:paraId="473071D9" w14:textId="77777777" w:rsidR="00F64388" w:rsidRDefault="00F64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FDF42" w14:textId="49209974" w:rsidR="000A3AEA" w:rsidRDefault="000A3AEA">
    <w:pPr>
      <w:pStyle w:val="ab"/>
    </w:pPr>
    <w:r>
      <w:rPr>
        <w:noProof/>
      </w:rPr>
      <w:drawing>
        <wp:inline distT="0" distB="0" distL="0" distR="0" wp14:anchorId="02ABC73E" wp14:editId="13074FAC">
          <wp:extent cx="5931535" cy="1049655"/>
          <wp:effectExtent l="0" t="0" r="0" b="0"/>
          <wp:docPr id="4" name="Рисунок 4" descr="Finam_Management_Blank(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inam_Management_Blank(шапка)"/>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1535" cy="10496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63B5"/>
    <w:multiLevelType w:val="hybridMultilevel"/>
    <w:tmpl w:val="C09E1C9A"/>
    <w:lvl w:ilvl="0" w:tplc="0409000F">
      <w:start w:val="66"/>
      <w:numFmt w:val="decimal"/>
      <w:lvlText w:val="%1."/>
      <w:lvlJc w:val="left"/>
      <w:pPr>
        <w:tabs>
          <w:tab w:val="num" w:pos="720"/>
        </w:tabs>
        <w:ind w:left="720" w:hanging="360"/>
      </w:pPr>
      <w:rPr>
        <w:rFonts w:cs="Times New Roman" w:hint="default"/>
      </w:rPr>
    </w:lvl>
    <w:lvl w:ilvl="1" w:tplc="9B22D6FE">
      <w:start w:val="68"/>
      <w:numFmt w:val="bullet"/>
      <w:lvlText w:val="-"/>
      <w:lvlJc w:val="left"/>
      <w:pPr>
        <w:tabs>
          <w:tab w:val="num" w:pos="1440"/>
        </w:tabs>
        <w:ind w:left="1440" w:hanging="360"/>
      </w:pPr>
      <w:rPr>
        <w:rFonts w:ascii="Times New Roman" w:eastAsia="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7156836"/>
    <w:multiLevelType w:val="hybridMultilevel"/>
    <w:tmpl w:val="01DA590E"/>
    <w:lvl w:ilvl="0" w:tplc="307A2990">
      <w:start w:val="1"/>
      <w:numFmt w:val="upperRoman"/>
      <w:lvlText w:val="%1."/>
      <w:lvlJc w:val="left"/>
      <w:pPr>
        <w:ind w:left="1571"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B4E57E5"/>
    <w:multiLevelType w:val="hybridMultilevel"/>
    <w:tmpl w:val="7EA4C354"/>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C2C3173"/>
    <w:multiLevelType w:val="hybridMultilevel"/>
    <w:tmpl w:val="91A86A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261A39"/>
    <w:multiLevelType w:val="hybridMultilevel"/>
    <w:tmpl w:val="43C68AEC"/>
    <w:lvl w:ilvl="0" w:tplc="EA183FAC">
      <w:start w:val="1"/>
      <w:numFmt w:val="russianLow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15:restartNumberingAfterBreak="0">
    <w:nsid w:val="0D8722F7"/>
    <w:multiLevelType w:val="hybridMultilevel"/>
    <w:tmpl w:val="59381C72"/>
    <w:lvl w:ilvl="0" w:tplc="04190001">
      <w:start w:val="1"/>
      <w:numFmt w:val="bullet"/>
      <w:lvlText w:val=""/>
      <w:lvlJc w:val="left"/>
      <w:pPr>
        <w:tabs>
          <w:tab w:val="num" w:pos="360"/>
        </w:tabs>
        <w:ind w:left="360" w:hanging="360"/>
      </w:pPr>
      <w:rPr>
        <w:rFonts w:ascii="Symbol" w:hAnsi="Symbol" w:hint="default"/>
      </w:rPr>
    </w:lvl>
    <w:lvl w:ilvl="1" w:tplc="F93C21F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1C6A68"/>
    <w:multiLevelType w:val="hybridMultilevel"/>
    <w:tmpl w:val="ED10084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5465432"/>
    <w:multiLevelType w:val="hybridMultilevel"/>
    <w:tmpl w:val="52E46504"/>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7000E57"/>
    <w:multiLevelType w:val="hybridMultilevel"/>
    <w:tmpl w:val="A3A6A0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1F0B37"/>
    <w:multiLevelType w:val="hybridMultilevel"/>
    <w:tmpl w:val="C4EC4378"/>
    <w:lvl w:ilvl="0" w:tplc="0409000F">
      <w:start w:val="64"/>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1868712A"/>
    <w:multiLevelType w:val="singleLevel"/>
    <w:tmpl w:val="04190001"/>
    <w:lvl w:ilvl="0">
      <w:start w:val="1"/>
      <w:numFmt w:val="bullet"/>
      <w:lvlText w:val=""/>
      <w:lvlJc w:val="left"/>
      <w:pPr>
        <w:tabs>
          <w:tab w:val="num" w:pos="786"/>
        </w:tabs>
        <w:ind w:left="786" w:hanging="360"/>
      </w:pPr>
      <w:rPr>
        <w:rFonts w:ascii="Symbol" w:hAnsi="Symbol" w:hint="default"/>
      </w:rPr>
    </w:lvl>
  </w:abstractNum>
  <w:abstractNum w:abstractNumId="11" w15:restartNumberingAfterBreak="0">
    <w:nsid w:val="189C5872"/>
    <w:multiLevelType w:val="hybridMultilevel"/>
    <w:tmpl w:val="D08ACD3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032C34"/>
    <w:multiLevelType w:val="hybridMultilevel"/>
    <w:tmpl w:val="06A4186E"/>
    <w:lvl w:ilvl="0" w:tplc="04090005">
      <w:start w:val="1"/>
      <w:numFmt w:val="bullet"/>
      <w:lvlText w:val=""/>
      <w:lvlJc w:val="left"/>
      <w:pPr>
        <w:tabs>
          <w:tab w:val="num" w:pos="1260"/>
        </w:tabs>
        <w:ind w:left="1260" w:hanging="360"/>
      </w:pPr>
      <w:rPr>
        <w:rFonts w:ascii="Wingdings" w:hAnsi="Wingdings" w:hint="default"/>
      </w:rPr>
    </w:lvl>
    <w:lvl w:ilvl="1" w:tplc="04090003">
      <w:start w:val="1"/>
      <w:numFmt w:val="bullet"/>
      <w:lvlText w:val="o"/>
      <w:lvlJc w:val="left"/>
      <w:pPr>
        <w:tabs>
          <w:tab w:val="num" w:pos="1980"/>
        </w:tabs>
        <w:ind w:left="1980" w:hanging="360"/>
      </w:pPr>
      <w:rPr>
        <w:rFonts w:ascii="Courier New" w:hAnsi="Courier New" w:hint="default"/>
      </w:rPr>
    </w:lvl>
    <w:lvl w:ilvl="2" w:tplc="04090005">
      <w:start w:val="1"/>
      <w:numFmt w:val="bullet"/>
      <w:lvlText w:val=""/>
      <w:lvlJc w:val="left"/>
      <w:pPr>
        <w:tabs>
          <w:tab w:val="num" w:pos="2700"/>
        </w:tabs>
        <w:ind w:left="2700" w:hanging="360"/>
      </w:pPr>
      <w:rPr>
        <w:rFonts w:ascii="Wingdings" w:hAnsi="Wingdings" w:hint="default"/>
      </w:rPr>
    </w:lvl>
    <w:lvl w:ilvl="3" w:tplc="04090001">
      <w:start w:val="1"/>
      <w:numFmt w:val="bullet"/>
      <w:lvlText w:val=""/>
      <w:lvlJc w:val="left"/>
      <w:pPr>
        <w:tabs>
          <w:tab w:val="num" w:pos="3420"/>
        </w:tabs>
        <w:ind w:left="3420" w:hanging="360"/>
      </w:pPr>
      <w:rPr>
        <w:rFonts w:ascii="Symbol" w:hAnsi="Symbol" w:hint="default"/>
      </w:rPr>
    </w:lvl>
    <w:lvl w:ilvl="4" w:tplc="04090003">
      <w:start w:val="1"/>
      <w:numFmt w:val="bullet"/>
      <w:lvlText w:val="o"/>
      <w:lvlJc w:val="left"/>
      <w:pPr>
        <w:tabs>
          <w:tab w:val="num" w:pos="4140"/>
        </w:tabs>
        <w:ind w:left="4140" w:hanging="360"/>
      </w:pPr>
      <w:rPr>
        <w:rFonts w:ascii="Courier New" w:hAnsi="Courier New" w:hint="default"/>
      </w:rPr>
    </w:lvl>
    <w:lvl w:ilvl="5" w:tplc="04090005">
      <w:start w:val="1"/>
      <w:numFmt w:val="bullet"/>
      <w:lvlText w:val=""/>
      <w:lvlJc w:val="left"/>
      <w:pPr>
        <w:tabs>
          <w:tab w:val="num" w:pos="4860"/>
        </w:tabs>
        <w:ind w:left="4860" w:hanging="360"/>
      </w:pPr>
      <w:rPr>
        <w:rFonts w:ascii="Wingdings" w:hAnsi="Wingdings" w:hint="default"/>
      </w:rPr>
    </w:lvl>
    <w:lvl w:ilvl="6" w:tplc="04090001">
      <w:start w:val="1"/>
      <w:numFmt w:val="bullet"/>
      <w:lvlText w:val=""/>
      <w:lvlJc w:val="left"/>
      <w:pPr>
        <w:tabs>
          <w:tab w:val="num" w:pos="5580"/>
        </w:tabs>
        <w:ind w:left="5580" w:hanging="360"/>
      </w:pPr>
      <w:rPr>
        <w:rFonts w:ascii="Symbol" w:hAnsi="Symbol" w:hint="default"/>
      </w:rPr>
    </w:lvl>
    <w:lvl w:ilvl="7" w:tplc="04090003">
      <w:start w:val="1"/>
      <w:numFmt w:val="bullet"/>
      <w:lvlText w:val="o"/>
      <w:lvlJc w:val="left"/>
      <w:pPr>
        <w:tabs>
          <w:tab w:val="num" w:pos="6300"/>
        </w:tabs>
        <w:ind w:left="6300" w:hanging="360"/>
      </w:pPr>
      <w:rPr>
        <w:rFonts w:ascii="Courier New" w:hAnsi="Courier New" w:hint="default"/>
      </w:rPr>
    </w:lvl>
    <w:lvl w:ilvl="8" w:tplc="04090005">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1DAA4A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3F81F16"/>
    <w:multiLevelType w:val="hybridMultilevel"/>
    <w:tmpl w:val="9DA8D9CE"/>
    <w:lvl w:ilvl="0" w:tplc="57ACB956">
      <w:start w:val="1"/>
      <w:numFmt w:val="bullet"/>
      <w:lvlText w:val=""/>
      <w:lvlJc w:val="left"/>
      <w:pPr>
        <w:tabs>
          <w:tab w:val="num" w:pos="1069"/>
        </w:tabs>
        <w:ind w:left="1069" w:hanging="360"/>
      </w:pPr>
      <w:rPr>
        <w:rFonts w:ascii="Symbol" w:hAnsi="Symbol" w:hint="default"/>
      </w:rPr>
    </w:lvl>
    <w:lvl w:ilvl="1" w:tplc="6298C75E">
      <w:start w:val="1"/>
      <w:numFmt w:val="bullet"/>
      <w:lvlText w:val="-"/>
      <w:lvlJc w:val="left"/>
      <w:pPr>
        <w:tabs>
          <w:tab w:val="num" w:pos="1440"/>
        </w:tabs>
        <w:ind w:left="1440" w:hanging="360"/>
      </w:pPr>
      <w:rPr>
        <w:rFonts w:ascii="Times New Roman" w:eastAsia="Times New Roman" w:hAnsi="Times New Roman"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15:restartNumberingAfterBreak="0">
    <w:nsid w:val="31CF10D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3BF5480"/>
    <w:multiLevelType w:val="multilevel"/>
    <w:tmpl w:val="4C3C24EE"/>
    <w:lvl w:ilvl="0">
      <w:start w:val="1"/>
      <w:numFmt w:val="decimal"/>
      <w:lvlText w:val="%1."/>
      <w:lvlJc w:val="left"/>
      <w:pPr>
        <w:ind w:left="720" w:hanging="360"/>
      </w:pPr>
    </w:lvl>
    <w:lvl w:ilvl="1">
      <w:start w:val="1"/>
      <w:numFmt w:val="decimal"/>
      <w:isLgl/>
      <w:lvlText w:val="(%2)"/>
      <w:lvlJc w:val="left"/>
      <w:pPr>
        <w:ind w:left="1080" w:hanging="720"/>
      </w:pPr>
      <w:rPr>
        <w:rFonts w:ascii="Calibri" w:eastAsia="Calibri" w:hAnsi="Calibri" w:cs="Times New Roman"/>
        <w:b w:val="0"/>
      </w:rPr>
    </w:lvl>
    <w:lvl w:ilvl="2">
      <w:start w:val="1"/>
      <w:numFmt w:val="russianLower"/>
      <w:lvlText w:val="(%3)"/>
      <w:lvlJc w:val="left"/>
      <w:pPr>
        <w:ind w:left="1004" w:hanging="720"/>
      </w:pPr>
      <w:rPr>
        <w:rFonts w:hint="default"/>
        <w:b w:val="0"/>
      </w:rPr>
    </w:lvl>
    <w:lvl w:ilvl="3">
      <w:start w:val="1"/>
      <w:numFmt w:val="decimal"/>
      <w:isLgl/>
      <w:lvlText w:val="%1.%2.%3.%4."/>
      <w:lvlJc w:val="left"/>
      <w:pPr>
        <w:ind w:left="1440" w:hanging="1080"/>
      </w:pPr>
      <w:rPr>
        <w:b/>
      </w:rPr>
    </w:lvl>
    <w:lvl w:ilvl="4">
      <w:start w:val="1"/>
      <w:numFmt w:val="decimal"/>
      <w:isLgl/>
      <w:lvlText w:val="%1.%2.%3.%4.%5."/>
      <w:lvlJc w:val="left"/>
      <w:pPr>
        <w:ind w:left="1440" w:hanging="1080"/>
      </w:pPr>
      <w:rPr>
        <w:b/>
      </w:rPr>
    </w:lvl>
    <w:lvl w:ilvl="5">
      <w:start w:val="1"/>
      <w:numFmt w:val="decimal"/>
      <w:isLgl/>
      <w:lvlText w:val="%1.%2.%3.%4.%5.%6."/>
      <w:lvlJc w:val="left"/>
      <w:pPr>
        <w:ind w:left="1800" w:hanging="1440"/>
      </w:pPr>
      <w:rPr>
        <w:b/>
      </w:rPr>
    </w:lvl>
    <w:lvl w:ilvl="6">
      <w:start w:val="1"/>
      <w:numFmt w:val="decimal"/>
      <w:isLgl/>
      <w:lvlText w:val="%1.%2.%3.%4.%5.%6.%7."/>
      <w:lvlJc w:val="left"/>
      <w:pPr>
        <w:ind w:left="2160" w:hanging="1800"/>
      </w:pPr>
      <w:rPr>
        <w:b/>
      </w:rPr>
    </w:lvl>
    <w:lvl w:ilvl="7">
      <w:start w:val="1"/>
      <w:numFmt w:val="decimal"/>
      <w:isLgl/>
      <w:lvlText w:val="%1.%2.%3.%4.%5.%6.%7.%8."/>
      <w:lvlJc w:val="left"/>
      <w:pPr>
        <w:ind w:left="2160" w:hanging="1800"/>
      </w:pPr>
      <w:rPr>
        <w:b/>
      </w:rPr>
    </w:lvl>
    <w:lvl w:ilvl="8">
      <w:start w:val="1"/>
      <w:numFmt w:val="decimal"/>
      <w:isLgl/>
      <w:lvlText w:val="%1.%2.%3.%4.%5.%6.%7.%8.%9."/>
      <w:lvlJc w:val="left"/>
      <w:pPr>
        <w:ind w:left="2520" w:hanging="2160"/>
      </w:pPr>
      <w:rPr>
        <w:b/>
      </w:rPr>
    </w:lvl>
  </w:abstractNum>
  <w:abstractNum w:abstractNumId="17" w15:restartNumberingAfterBreak="0">
    <w:nsid w:val="37836388"/>
    <w:multiLevelType w:val="hybridMultilevel"/>
    <w:tmpl w:val="35101258"/>
    <w:lvl w:ilvl="0" w:tplc="ACE8E656">
      <w:start w:val="3"/>
      <w:numFmt w:val="bullet"/>
      <w:lvlText w:val="-"/>
      <w:lvlJc w:val="left"/>
      <w:pPr>
        <w:tabs>
          <w:tab w:val="num" w:pos="1620"/>
        </w:tabs>
        <w:ind w:left="1620" w:hanging="360"/>
      </w:pPr>
      <w:rPr>
        <w:rFonts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8" w15:restartNumberingAfterBreak="0">
    <w:nsid w:val="3A0F0BCF"/>
    <w:multiLevelType w:val="hybridMultilevel"/>
    <w:tmpl w:val="59F47368"/>
    <w:lvl w:ilvl="0" w:tplc="7E38A292">
      <w:start w:val="5"/>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9" w15:restartNumberingAfterBreak="0">
    <w:nsid w:val="3F335B02"/>
    <w:multiLevelType w:val="hybridMultilevel"/>
    <w:tmpl w:val="4EC42A6A"/>
    <w:lvl w:ilvl="0" w:tplc="04090005">
      <w:start w:val="1"/>
      <w:numFmt w:val="bullet"/>
      <w:lvlText w:val=""/>
      <w:lvlJc w:val="left"/>
      <w:pPr>
        <w:tabs>
          <w:tab w:val="num" w:pos="1260"/>
        </w:tabs>
        <w:ind w:left="1260" w:hanging="360"/>
      </w:pPr>
      <w:rPr>
        <w:rFonts w:ascii="Wingdings" w:hAnsi="Wingdings" w:hint="default"/>
      </w:rPr>
    </w:lvl>
    <w:lvl w:ilvl="1" w:tplc="04090003">
      <w:start w:val="1"/>
      <w:numFmt w:val="bullet"/>
      <w:lvlText w:val="o"/>
      <w:lvlJc w:val="left"/>
      <w:pPr>
        <w:tabs>
          <w:tab w:val="num" w:pos="1980"/>
        </w:tabs>
        <w:ind w:left="1980" w:hanging="360"/>
      </w:pPr>
      <w:rPr>
        <w:rFonts w:ascii="Courier New" w:hAnsi="Courier New" w:hint="default"/>
      </w:rPr>
    </w:lvl>
    <w:lvl w:ilvl="2" w:tplc="04090005">
      <w:start w:val="1"/>
      <w:numFmt w:val="bullet"/>
      <w:lvlText w:val=""/>
      <w:lvlJc w:val="left"/>
      <w:pPr>
        <w:tabs>
          <w:tab w:val="num" w:pos="2700"/>
        </w:tabs>
        <w:ind w:left="2700" w:hanging="360"/>
      </w:pPr>
      <w:rPr>
        <w:rFonts w:ascii="Wingdings" w:hAnsi="Wingdings" w:hint="default"/>
      </w:rPr>
    </w:lvl>
    <w:lvl w:ilvl="3" w:tplc="04090001">
      <w:start w:val="1"/>
      <w:numFmt w:val="bullet"/>
      <w:lvlText w:val=""/>
      <w:lvlJc w:val="left"/>
      <w:pPr>
        <w:tabs>
          <w:tab w:val="num" w:pos="3420"/>
        </w:tabs>
        <w:ind w:left="3420" w:hanging="360"/>
      </w:pPr>
      <w:rPr>
        <w:rFonts w:ascii="Symbol" w:hAnsi="Symbol" w:hint="default"/>
      </w:rPr>
    </w:lvl>
    <w:lvl w:ilvl="4" w:tplc="04090003">
      <w:start w:val="1"/>
      <w:numFmt w:val="bullet"/>
      <w:lvlText w:val="o"/>
      <w:lvlJc w:val="left"/>
      <w:pPr>
        <w:tabs>
          <w:tab w:val="num" w:pos="4140"/>
        </w:tabs>
        <w:ind w:left="4140" w:hanging="360"/>
      </w:pPr>
      <w:rPr>
        <w:rFonts w:ascii="Courier New" w:hAnsi="Courier New" w:hint="default"/>
      </w:rPr>
    </w:lvl>
    <w:lvl w:ilvl="5" w:tplc="04090005">
      <w:start w:val="1"/>
      <w:numFmt w:val="bullet"/>
      <w:lvlText w:val=""/>
      <w:lvlJc w:val="left"/>
      <w:pPr>
        <w:tabs>
          <w:tab w:val="num" w:pos="4860"/>
        </w:tabs>
        <w:ind w:left="4860" w:hanging="360"/>
      </w:pPr>
      <w:rPr>
        <w:rFonts w:ascii="Wingdings" w:hAnsi="Wingdings" w:hint="default"/>
      </w:rPr>
    </w:lvl>
    <w:lvl w:ilvl="6" w:tplc="04090001">
      <w:start w:val="1"/>
      <w:numFmt w:val="bullet"/>
      <w:lvlText w:val=""/>
      <w:lvlJc w:val="left"/>
      <w:pPr>
        <w:tabs>
          <w:tab w:val="num" w:pos="5580"/>
        </w:tabs>
        <w:ind w:left="5580" w:hanging="360"/>
      </w:pPr>
      <w:rPr>
        <w:rFonts w:ascii="Symbol" w:hAnsi="Symbol" w:hint="default"/>
      </w:rPr>
    </w:lvl>
    <w:lvl w:ilvl="7" w:tplc="04090003">
      <w:start w:val="1"/>
      <w:numFmt w:val="bullet"/>
      <w:lvlText w:val="o"/>
      <w:lvlJc w:val="left"/>
      <w:pPr>
        <w:tabs>
          <w:tab w:val="num" w:pos="6300"/>
        </w:tabs>
        <w:ind w:left="6300" w:hanging="360"/>
      </w:pPr>
      <w:rPr>
        <w:rFonts w:ascii="Courier New" w:hAnsi="Courier New" w:hint="default"/>
      </w:rPr>
    </w:lvl>
    <w:lvl w:ilvl="8" w:tplc="04090005">
      <w:start w:val="1"/>
      <w:numFmt w:val="bullet"/>
      <w:lvlText w:val=""/>
      <w:lvlJc w:val="left"/>
      <w:pPr>
        <w:tabs>
          <w:tab w:val="num" w:pos="7020"/>
        </w:tabs>
        <w:ind w:left="7020" w:hanging="360"/>
      </w:pPr>
      <w:rPr>
        <w:rFonts w:ascii="Wingdings" w:hAnsi="Wingdings" w:hint="default"/>
      </w:rPr>
    </w:lvl>
  </w:abstractNum>
  <w:abstractNum w:abstractNumId="20" w15:restartNumberingAfterBreak="0">
    <w:nsid w:val="4A9F6E8D"/>
    <w:multiLevelType w:val="hybridMultilevel"/>
    <w:tmpl w:val="F2C2BB9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15:restartNumberingAfterBreak="0">
    <w:nsid w:val="4FC62D0E"/>
    <w:multiLevelType w:val="hybridMultilevel"/>
    <w:tmpl w:val="3C6EA104"/>
    <w:lvl w:ilvl="0" w:tplc="FF481A9E">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2" w15:restartNumberingAfterBreak="0">
    <w:nsid w:val="51F0209F"/>
    <w:multiLevelType w:val="hybridMultilevel"/>
    <w:tmpl w:val="35CEA96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255103"/>
    <w:multiLevelType w:val="hybridMultilevel"/>
    <w:tmpl w:val="085C24E8"/>
    <w:lvl w:ilvl="0" w:tplc="0419000F">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7D8412E"/>
    <w:multiLevelType w:val="hybridMultilevel"/>
    <w:tmpl w:val="88F8F9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5BC31BA0"/>
    <w:multiLevelType w:val="hybridMultilevel"/>
    <w:tmpl w:val="0718A444"/>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C266F2B"/>
    <w:multiLevelType w:val="hybridMultilevel"/>
    <w:tmpl w:val="13EC8DD6"/>
    <w:lvl w:ilvl="0" w:tplc="041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644B4C7C"/>
    <w:multiLevelType w:val="hybridMultilevel"/>
    <w:tmpl w:val="0450C4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6855605C"/>
    <w:multiLevelType w:val="hybridMultilevel"/>
    <w:tmpl w:val="CD3E3D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382361"/>
    <w:multiLevelType w:val="hybridMultilevel"/>
    <w:tmpl w:val="EFBA625A"/>
    <w:lvl w:ilvl="0" w:tplc="04520CD2">
      <w:start w:val="1"/>
      <w:numFmt w:val="decimal"/>
      <w:lvlText w:val="(%1)"/>
      <w:lvlJc w:val="left"/>
      <w:pPr>
        <w:ind w:left="720" w:hanging="360"/>
      </w:pPr>
      <w:rPr>
        <w:rFonts w:hint="default"/>
      </w:rPr>
    </w:lvl>
    <w:lvl w:ilvl="1" w:tplc="04520CD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ED7CB6"/>
    <w:multiLevelType w:val="hybridMultilevel"/>
    <w:tmpl w:val="552283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4D55480"/>
    <w:multiLevelType w:val="singleLevel"/>
    <w:tmpl w:val="0C090001"/>
    <w:lvl w:ilvl="0">
      <w:start w:val="1"/>
      <w:numFmt w:val="bullet"/>
      <w:lvlText w:val=""/>
      <w:lvlJc w:val="left"/>
      <w:pPr>
        <w:tabs>
          <w:tab w:val="num" w:pos="360"/>
        </w:tabs>
        <w:ind w:left="360" w:hanging="360"/>
      </w:pPr>
      <w:rPr>
        <w:rFonts w:ascii="Symbol" w:hAnsi="Symbol" w:hint="default"/>
      </w:rPr>
    </w:lvl>
  </w:abstractNum>
  <w:num w:numId="1">
    <w:abstractNumId w:val="13"/>
  </w:num>
  <w:num w:numId="2">
    <w:abstractNumId w:val="26"/>
  </w:num>
  <w:num w:numId="3">
    <w:abstractNumId w:val="17"/>
  </w:num>
  <w:num w:numId="4">
    <w:abstractNumId w:val="14"/>
  </w:num>
  <w:num w:numId="5">
    <w:abstractNumId w:val="11"/>
  </w:num>
  <w:num w:numId="6">
    <w:abstractNumId w:val="31"/>
  </w:num>
  <w:num w:numId="7">
    <w:abstractNumId w:val="22"/>
  </w:num>
  <w:num w:numId="8">
    <w:abstractNumId w:val="27"/>
  </w:num>
  <w:num w:numId="9">
    <w:abstractNumId w:val="9"/>
  </w:num>
  <w:num w:numId="10">
    <w:abstractNumId w:val="19"/>
  </w:num>
  <w:num w:numId="11">
    <w:abstractNumId w:val="25"/>
  </w:num>
  <w:num w:numId="12">
    <w:abstractNumId w:val="12"/>
  </w:num>
  <w:num w:numId="13">
    <w:abstractNumId w:val="15"/>
  </w:num>
  <w:num w:numId="14">
    <w:abstractNumId w:val="0"/>
  </w:num>
  <w:num w:numId="15">
    <w:abstractNumId w:val="10"/>
  </w:num>
  <w:num w:numId="16">
    <w:abstractNumId w:val="5"/>
  </w:num>
  <w:num w:numId="17">
    <w:abstractNumId w:val="18"/>
  </w:num>
  <w:num w:numId="18">
    <w:abstractNumId w:val="28"/>
  </w:num>
  <w:num w:numId="19">
    <w:abstractNumId w:val="30"/>
  </w:num>
  <w:num w:numId="20">
    <w:abstractNumId w:val="8"/>
  </w:num>
  <w:num w:numId="21">
    <w:abstractNumId w:val="3"/>
  </w:num>
  <w:num w:numId="22">
    <w:abstractNumId w:val="6"/>
  </w:num>
  <w:num w:numId="23">
    <w:abstractNumId w:val="24"/>
  </w:num>
  <w:num w:numId="24">
    <w:abstractNumId w:val="2"/>
  </w:num>
  <w:num w:numId="25">
    <w:abstractNumId w:val="15"/>
  </w:num>
  <w:num w:numId="26">
    <w:abstractNumId w:val="21"/>
  </w:num>
  <w:num w:numId="27">
    <w:abstractNumId w:val="16"/>
  </w:num>
  <w:num w:numId="28">
    <w:abstractNumId w:val="1"/>
  </w:num>
  <w:num w:numId="29">
    <w:abstractNumId w:val="29"/>
  </w:num>
  <w:num w:numId="30">
    <w:abstractNumId w:val="4"/>
  </w:num>
  <w:num w:numId="31">
    <w:abstractNumId w:val="23"/>
  </w:num>
  <w:num w:numId="32">
    <w:abstractNumId w:val="7"/>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8BE"/>
    <w:rsid w:val="00000248"/>
    <w:rsid w:val="00003D3E"/>
    <w:rsid w:val="00006B3B"/>
    <w:rsid w:val="00010ED1"/>
    <w:rsid w:val="000137F2"/>
    <w:rsid w:val="00024CDC"/>
    <w:rsid w:val="00025487"/>
    <w:rsid w:val="00027350"/>
    <w:rsid w:val="000274D2"/>
    <w:rsid w:val="000359DB"/>
    <w:rsid w:val="000374CE"/>
    <w:rsid w:val="000404C3"/>
    <w:rsid w:val="00042332"/>
    <w:rsid w:val="00047DA0"/>
    <w:rsid w:val="00053D3A"/>
    <w:rsid w:val="0005638B"/>
    <w:rsid w:val="00070452"/>
    <w:rsid w:val="000714CA"/>
    <w:rsid w:val="00081C95"/>
    <w:rsid w:val="00086810"/>
    <w:rsid w:val="00095A9C"/>
    <w:rsid w:val="000A30CB"/>
    <w:rsid w:val="000A3AEA"/>
    <w:rsid w:val="000A50EE"/>
    <w:rsid w:val="000A630A"/>
    <w:rsid w:val="000B0BD5"/>
    <w:rsid w:val="000B110A"/>
    <w:rsid w:val="000C05E1"/>
    <w:rsid w:val="000C60E4"/>
    <w:rsid w:val="000D5178"/>
    <w:rsid w:val="000E37C4"/>
    <w:rsid w:val="000E3854"/>
    <w:rsid w:val="000E64BC"/>
    <w:rsid w:val="000F2C28"/>
    <w:rsid w:val="000F461F"/>
    <w:rsid w:val="000F482C"/>
    <w:rsid w:val="000F5C18"/>
    <w:rsid w:val="000F6530"/>
    <w:rsid w:val="000F7272"/>
    <w:rsid w:val="000F7EBE"/>
    <w:rsid w:val="001018D4"/>
    <w:rsid w:val="00106F55"/>
    <w:rsid w:val="0011689C"/>
    <w:rsid w:val="00130235"/>
    <w:rsid w:val="00131765"/>
    <w:rsid w:val="001349A6"/>
    <w:rsid w:val="00141539"/>
    <w:rsid w:val="00146465"/>
    <w:rsid w:val="00153806"/>
    <w:rsid w:val="00154447"/>
    <w:rsid w:val="00160FA2"/>
    <w:rsid w:val="001618EF"/>
    <w:rsid w:val="00165309"/>
    <w:rsid w:val="00165D87"/>
    <w:rsid w:val="00173E97"/>
    <w:rsid w:val="001829C8"/>
    <w:rsid w:val="001836D5"/>
    <w:rsid w:val="001873BB"/>
    <w:rsid w:val="00196EE8"/>
    <w:rsid w:val="001977F3"/>
    <w:rsid w:val="001A4DBF"/>
    <w:rsid w:val="001B0A7F"/>
    <w:rsid w:val="001B2B9D"/>
    <w:rsid w:val="001C5948"/>
    <w:rsid w:val="001D0F39"/>
    <w:rsid w:val="001D4DAB"/>
    <w:rsid w:val="001D623E"/>
    <w:rsid w:val="001E351B"/>
    <w:rsid w:val="001E4FE5"/>
    <w:rsid w:val="001E6A6A"/>
    <w:rsid w:val="001E78C8"/>
    <w:rsid w:val="001F2CCB"/>
    <w:rsid w:val="001F506F"/>
    <w:rsid w:val="001F6E15"/>
    <w:rsid w:val="001F79F7"/>
    <w:rsid w:val="00200DF2"/>
    <w:rsid w:val="002106DE"/>
    <w:rsid w:val="00211967"/>
    <w:rsid w:val="00215256"/>
    <w:rsid w:val="002202B6"/>
    <w:rsid w:val="002206D6"/>
    <w:rsid w:val="00227DF3"/>
    <w:rsid w:val="00235D32"/>
    <w:rsid w:val="00236515"/>
    <w:rsid w:val="0024167B"/>
    <w:rsid w:val="002453EB"/>
    <w:rsid w:val="0024750A"/>
    <w:rsid w:val="00255E6A"/>
    <w:rsid w:val="0025743A"/>
    <w:rsid w:val="00257A22"/>
    <w:rsid w:val="00260474"/>
    <w:rsid w:val="00265418"/>
    <w:rsid w:val="00266078"/>
    <w:rsid w:val="00273455"/>
    <w:rsid w:val="00275F9D"/>
    <w:rsid w:val="002770FA"/>
    <w:rsid w:val="00296ED2"/>
    <w:rsid w:val="002A53DF"/>
    <w:rsid w:val="002A69EB"/>
    <w:rsid w:val="002A72A5"/>
    <w:rsid w:val="002A7964"/>
    <w:rsid w:val="002C057B"/>
    <w:rsid w:val="002C4E8E"/>
    <w:rsid w:val="002D3E6C"/>
    <w:rsid w:val="002D48F0"/>
    <w:rsid w:val="002D69A6"/>
    <w:rsid w:val="002E7DD2"/>
    <w:rsid w:val="002F20CE"/>
    <w:rsid w:val="002F3BD1"/>
    <w:rsid w:val="002F6023"/>
    <w:rsid w:val="0030396A"/>
    <w:rsid w:val="00304352"/>
    <w:rsid w:val="003208A8"/>
    <w:rsid w:val="00323AEC"/>
    <w:rsid w:val="00323D66"/>
    <w:rsid w:val="00326A01"/>
    <w:rsid w:val="00327650"/>
    <w:rsid w:val="00327928"/>
    <w:rsid w:val="003361C1"/>
    <w:rsid w:val="003366D9"/>
    <w:rsid w:val="00340AE9"/>
    <w:rsid w:val="00340B85"/>
    <w:rsid w:val="00341D1F"/>
    <w:rsid w:val="0034270A"/>
    <w:rsid w:val="00342736"/>
    <w:rsid w:val="00353C68"/>
    <w:rsid w:val="00353ECB"/>
    <w:rsid w:val="0035499A"/>
    <w:rsid w:val="0035577B"/>
    <w:rsid w:val="00357E0A"/>
    <w:rsid w:val="003711DF"/>
    <w:rsid w:val="003742CE"/>
    <w:rsid w:val="0037472C"/>
    <w:rsid w:val="00391D86"/>
    <w:rsid w:val="003944F3"/>
    <w:rsid w:val="003972B8"/>
    <w:rsid w:val="003A000D"/>
    <w:rsid w:val="003A12B4"/>
    <w:rsid w:val="003A7F40"/>
    <w:rsid w:val="003B06C1"/>
    <w:rsid w:val="003B1E26"/>
    <w:rsid w:val="003B74C4"/>
    <w:rsid w:val="003B74ED"/>
    <w:rsid w:val="003C0E27"/>
    <w:rsid w:val="003C0E60"/>
    <w:rsid w:val="003C1067"/>
    <w:rsid w:val="003C48D9"/>
    <w:rsid w:val="003C77B3"/>
    <w:rsid w:val="003D1463"/>
    <w:rsid w:val="003D1722"/>
    <w:rsid w:val="003D60A6"/>
    <w:rsid w:val="003D6AD9"/>
    <w:rsid w:val="003D735D"/>
    <w:rsid w:val="003E186F"/>
    <w:rsid w:val="003E6865"/>
    <w:rsid w:val="003F3FBF"/>
    <w:rsid w:val="003F6AE4"/>
    <w:rsid w:val="004005D2"/>
    <w:rsid w:val="00411848"/>
    <w:rsid w:val="00424D4C"/>
    <w:rsid w:val="00424F5B"/>
    <w:rsid w:val="00426D3C"/>
    <w:rsid w:val="00433F4C"/>
    <w:rsid w:val="00435C94"/>
    <w:rsid w:val="00440038"/>
    <w:rsid w:val="00444368"/>
    <w:rsid w:val="00444B3C"/>
    <w:rsid w:val="00446BDA"/>
    <w:rsid w:val="004517FA"/>
    <w:rsid w:val="004526F2"/>
    <w:rsid w:val="00453BD8"/>
    <w:rsid w:val="004549EF"/>
    <w:rsid w:val="00463D52"/>
    <w:rsid w:val="00463E40"/>
    <w:rsid w:val="0046603A"/>
    <w:rsid w:val="00467F17"/>
    <w:rsid w:val="00472CEB"/>
    <w:rsid w:val="004747E2"/>
    <w:rsid w:val="00475739"/>
    <w:rsid w:val="00477C12"/>
    <w:rsid w:val="004802A0"/>
    <w:rsid w:val="00491339"/>
    <w:rsid w:val="00493C6F"/>
    <w:rsid w:val="0049716A"/>
    <w:rsid w:val="004A3911"/>
    <w:rsid w:val="004A61E7"/>
    <w:rsid w:val="004A78A5"/>
    <w:rsid w:val="004B0AAA"/>
    <w:rsid w:val="004B16BA"/>
    <w:rsid w:val="004C1394"/>
    <w:rsid w:val="004C1990"/>
    <w:rsid w:val="004C34B2"/>
    <w:rsid w:val="004D12F2"/>
    <w:rsid w:val="004D4E3A"/>
    <w:rsid w:val="004D6C32"/>
    <w:rsid w:val="004D721A"/>
    <w:rsid w:val="004D7CF4"/>
    <w:rsid w:val="004E5EE5"/>
    <w:rsid w:val="004F2EB6"/>
    <w:rsid w:val="004F4522"/>
    <w:rsid w:val="004F4B57"/>
    <w:rsid w:val="0050276D"/>
    <w:rsid w:val="005032B7"/>
    <w:rsid w:val="00504DCC"/>
    <w:rsid w:val="005113FF"/>
    <w:rsid w:val="00513656"/>
    <w:rsid w:val="005152E3"/>
    <w:rsid w:val="00515BB7"/>
    <w:rsid w:val="00517333"/>
    <w:rsid w:val="00517F53"/>
    <w:rsid w:val="005202A4"/>
    <w:rsid w:val="00522128"/>
    <w:rsid w:val="00522CE6"/>
    <w:rsid w:val="00530359"/>
    <w:rsid w:val="00531CCE"/>
    <w:rsid w:val="00532201"/>
    <w:rsid w:val="00534478"/>
    <w:rsid w:val="00535D20"/>
    <w:rsid w:val="00542E70"/>
    <w:rsid w:val="00553014"/>
    <w:rsid w:val="00555E8D"/>
    <w:rsid w:val="005571E6"/>
    <w:rsid w:val="00561FDF"/>
    <w:rsid w:val="00563B7A"/>
    <w:rsid w:val="00567E81"/>
    <w:rsid w:val="005726B9"/>
    <w:rsid w:val="00585831"/>
    <w:rsid w:val="00587D28"/>
    <w:rsid w:val="005971BB"/>
    <w:rsid w:val="005A2C5E"/>
    <w:rsid w:val="005A594B"/>
    <w:rsid w:val="005B080A"/>
    <w:rsid w:val="005B4167"/>
    <w:rsid w:val="005B47CB"/>
    <w:rsid w:val="005B51FD"/>
    <w:rsid w:val="005B6B99"/>
    <w:rsid w:val="005C1AD5"/>
    <w:rsid w:val="005C49B0"/>
    <w:rsid w:val="005D0BC6"/>
    <w:rsid w:val="005D207E"/>
    <w:rsid w:val="005D32D3"/>
    <w:rsid w:val="005D672E"/>
    <w:rsid w:val="005D718A"/>
    <w:rsid w:val="005E7EB5"/>
    <w:rsid w:val="005F6739"/>
    <w:rsid w:val="00601C80"/>
    <w:rsid w:val="006024CF"/>
    <w:rsid w:val="0060292C"/>
    <w:rsid w:val="006032A2"/>
    <w:rsid w:val="006127B5"/>
    <w:rsid w:val="00614D93"/>
    <w:rsid w:val="00615ED6"/>
    <w:rsid w:val="00620279"/>
    <w:rsid w:val="00620F06"/>
    <w:rsid w:val="00624F18"/>
    <w:rsid w:val="00625594"/>
    <w:rsid w:val="00626714"/>
    <w:rsid w:val="00631BAC"/>
    <w:rsid w:val="00633068"/>
    <w:rsid w:val="00641BA6"/>
    <w:rsid w:val="00650B07"/>
    <w:rsid w:val="0065522A"/>
    <w:rsid w:val="0066069E"/>
    <w:rsid w:val="00661A57"/>
    <w:rsid w:val="00661EE4"/>
    <w:rsid w:val="00664E53"/>
    <w:rsid w:val="00666EBA"/>
    <w:rsid w:val="006729FD"/>
    <w:rsid w:val="00673BE1"/>
    <w:rsid w:val="006740B9"/>
    <w:rsid w:val="0068450A"/>
    <w:rsid w:val="006851A4"/>
    <w:rsid w:val="00697994"/>
    <w:rsid w:val="006A6E67"/>
    <w:rsid w:val="006A7C42"/>
    <w:rsid w:val="006B19E2"/>
    <w:rsid w:val="006B6114"/>
    <w:rsid w:val="006C2E87"/>
    <w:rsid w:val="006C58E9"/>
    <w:rsid w:val="006D0EC5"/>
    <w:rsid w:val="006D1E65"/>
    <w:rsid w:val="006D2DCB"/>
    <w:rsid w:val="006D7ADB"/>
    <w:rsid w:val="006E1667"/>
    <w:rsid w:val="006E250E"/>
    <w:rsid w:val="006E55C5"/>
    <w:rsid w:val="006E7CA3"/>
    <w:rsid w:val="006F3B5C"/>
    <w:rsid w:val="006F7AE0"/>
    <w:rsid w:val="00702D0D"/>
    <w:rsid w:val="00705700"/>
    <w:rsid w:val="00705AC4"/>
    <w:rsid w:val="007152FC"/>
    <w:rsid w:val="00715894"/>
    <w:rsid w:val="007428D3"/>
    <w:rsid w:val="00750982"/>
    <w:rsid w:val="00750A36"/>
    <w:rsid w:val="00751F43"/>
    <w:rsid w:val="007619CC"/>
    <w:rsid w:val="007673EE"/>
    <w:rsid w:val="00772BA3"/>
    <w:rsid w:val="00773E89"/>
    <w:rsid w:val="00774B54"/>
    <w:rsid w:val="00774FA0"/>
    <w:rsid w:val="00780490"/>
    <w:rsid w:val="00783DC6"/>
    <w:rsid w:val="007856CC"/>
    <w:rsid w:val="00785F76"/>
    <w:rsid w:val="00786C9B"/>
    <w:rsid w:val="00787E73"/>
    <w:rsid w:val="007916E4"/>
    <w:rsid w:val="00792999"/>
    <w:rsid w:val="00794CB8"/>
    <w:rsid w:val="00795467"/>
    <w:rsid w:val="007B4849"/>
    <w:rsid w:val="007C212F"/>
    <w:rsid w:val="007C440D"/>
    <w:rsid w:val="007C5723"/>
    <w:rsid w:val="007C73C0"/>
    <w:rsid w:val="007D5217"/>
    <w:rsid w:val="007D737F"/>
    <w:rsid w:val="007E0946"/>
    <w:rsid w:val="007E1C74"/>
    <w:rsid w:val="007E3208"/>
    <w:rsid w:val="007E4854"/>
    <w:rsid w:val="007E5ED3"/>
    <w:rsid w:val="007F0AF5"/>
    <w:rsid w:val="007F30B1"/>
    <w:rsid w:val="007F4738"/>
    <w:rsid w:val="007F659E"/>
    <w:rsid w:val="007F7629"/>
    <w:rsid w:val="007F7A8B"/>
    <w:rsid w:val="00801799"/>
    <w:rsid w:val="008029E1"/>
    <w:rsid w:val="008070CE"/>
    <w:rsid w:val="00811BD1"/>
    <w:rsid w:val="00812368"/>
    <w:rsid w:val="00813704"/>
    <w:rsid w:val="008140E1"/>
    <w:rsid w:val="008144F2"/>
    <w:rsid w:val="00815342"/>
    <w:rsid w:val="00825C17"/>
    <w:rsid w:val="00830BCC"/>
    <w:rsid w:val="008318B7"/>
    <w:rsid w:val="0083438E"/>
    <w:rsid w:val="00836516"/>
    <w:rsid w:val="00842BE4"/>
    <w:rsid w:val="0084414A"/>
    <w:rsid w:val="00845ED0"/>
    <w:rsid w:val="00856471"/>
    <w:rsid w:val="008601D7"/>
    <w:rsid w:val="00870A3A"/>
    <w:rsid w:val="00886CF2"/>
    <w:rsid w:val="00887183"/>
    <w:rsid w:val="00890E62"/>
    <w:rsid w:val="008940E8"/>
    <w:rsid w:val="008A1904"/>
    <w:rsid w:val="008A4D1D"/>
    <w:rsid w:val="008B1F78"/>
    <w:rsid w:val="008B239C"/>
    <w:rsid w:val="008B34D3"/>
    <w:rsid w:val="008B4855"/>
    <w:rsid w:val="008C0952"/>
    <w:rsid w:val="008C3DFB"/>
    <w:rsid w:val="008D1FE8"/>
    <w:rsid w:val="008D759B"/>
    <w:rsid w:val="008E13BC"/>
    <w:rsid w:val="008E1973"/>
    <w:rsid w:val="008E2A91"/>
    <w:rsid w:val="008E4C62"/>
    <w:rsid w:val="008E77F6"/>
    <w:rsid w:val="008E7899"/>
    <w:rsid w:val="008F119D"/>
    <w:rsid w:val="00903416"/>
    <w:rsid w:val="0090406A"/>
    <w:rsid w:val="00905749"/>
    <w:rsid w:val="00914ADD"/>
    <w:rsid w:val="009161DC"/>
    <w:rsid w:val="00916560"/>
    <w:rsid w:val="00923D71"/>
    <w:rsid w:val="009329EF"/>
    <w:rsid w:val="009403E2"/>
    <w:rsid w:val="009403F2"/>
    <w:rsid w:val="009423B1"/>
    <w:rsid w:val="00943286"/>
    <w:rsid w:val="00943B2A"/>
    <w:rsid w:val="00944A93"/>
    <w:rsid w:val="0094731B"/>
    <w:rsid w:val="00947C36"/>
    <w:rsid w:val="009519E7"/>
    <w:rsid w:val="0095487E"/>
    <w:rsid w:val="00955A4C"/>
    <w:rsid w:val="00960435"/>
    <w:rsid w:val="0096448B"/>
    <w:rsid w:val="00974A51"/>
    <w:rsid w:val="00975516"/>
    <w:rsid w:val="0098292A"/>
    <w:rsid w:val="00983802"/>
    <w:rsid w:val="00984C86"/>
    <w:rsid w:val="00986018"/>
    <w:rsid w:val="00986280"/>
    <w:rsid w:val="0098672C"/>
    <w:rsid w:val="00990BB5"/>
    <w:rsid w:val="00990F77"/>
    <w:rsid w:val="009910E1"/>
    <w:rsid w:val="00995D7A"/>
    <w:rsid w:val="009A1FE7"/>
    <w:rsid w:val="009A3621"/>
    <w:rsid w:val="009A7580"/>
    <w:rsid w:val="009B0858"/>
    <w:rsid w:val="009B1BCD"/>
    <w:rsid w:val="009B734E"/>
    <w:rsid w:val="009C0B31"/>
    <w:rsid w:val="009C0FA9"/>
    <w:rsid w:val="009C1D98"/>
    <w:rsid w:val="009C2F83"/>
    <w:rsid w:val="009C664C"/>
    <w:rsid w:val="009D0A9F"/>
    <w:rsid w:val="009D28B8"/>
    <w:rsid w:val="009D48DC"/>
    <w:rsid w:val="009D53E4"/>
    <w:rsid w:val="009D65EA"/>
    <w:rsid w:val="009E3121"/>
    <w:rsid w:val="009E332F"/>
    <w:rsid w:val="009E39A7"/>
    <w:rsid w:val="009E6EA5"/>
    <w:rsid w:val="009E7CCF"/>
    <w:rsid w:val="009F64B6"/>
    <w:rsid w:val="009F7BC0"/>
    <w:rsid w:val="00A02C6D"/>
    <w:rsid w:val="00A0373A"/>
    <w:rsid w:val="00A06C2D"/>
    <w:rsid w:val="00A114C7"/>
    <w:rsid w:val="00A13E31"/>
    <w:rsid w:val="00A14B8A"/>
    <w:rsid w:val="00A3002A"/>
    <w:rsid w:val="00A300EE"/>
    <w:rsid w:val="00A31F47"/>
    <w:rsid w:val="00A34F6D"/>
    <w:rsid w:val="00A35877"/>
    <w:rsid w:val="00A412CB"/>
    <w:rsid w:val="00A43890"/>
    <w:rsid w:val="00A4600D"/>
    <w:rsid w:val="00A4685D"/>
    <w:rsid w:val="00A662EA"/>
    <w:rsid w:val="00A66AFA"/>
    <w:rsid w:val="00A720CB"/>
    <w:rsid w:val="00A82B6F"/>
    <w:rsid w:val="00A838E6"/>
    <w:rsid w:val="00A83E9C"/>
    <w:rsid w:val="00A86289"/>
    <w:rsid w:val="00A92309"/>
    <w:rsid w:val="00A965BD"/>
    <w:rsid w:val="00AA12D8"/>
    <w:rsid w:val="00AA48BE"/>
    <w:rsid w:val="00AB22EF"/>
    <w:rsid w:val="00AB3C99"/>
    <w:rsid w:val="00AC0BD6"/>
    <w:rsid w:val="00AC1B7D"/>
    <w:rsid w:val="00AC1DB7"/>
    <w:rsid w:val="00AD38D5"/>
    <w:rsid w:val="00AD3E8E"/>
    <w:rsid w:val="00AD4E90"/>
    <w:rsid w:val="00AE08B4"/>
    <w:rsid w:val="00AE52EE"/>
    <w:rsid w:val="00AE5944"/>
    <w:rsid w:val="00AE5D8A"/>
    <w:rsid w:val="00AF0D9D"/>
    <w:rsid w:val="00AF6134"/>
    <w:rsid w:val="00B261EC"/>
    <w:rsid w:val="00B34CA5"/>
    <w:rsid w:val="00B35255"/>
    <w:rsid w:val="00B363EE"/>
    <w:rsid w:val="00B37906"/>
    <w:rsid w:val="00B43CAA"/>
    <w:rsid w:val="00B50C18"/>
    <w:rsid w:val="00B51813"/>
    <w:rsid w:val="00B559A8"/>
    <w:rsid w:val="00B62BC3"/>
    <w:rsid w:val="00B63BE4"/>
    <w:rsid w:val="00B65C3F"/>
    <w:rsid w:val="00B66C6D"/>
    <w:rsid w:val="00B75DCC"/>
    <w:rsid w:val="00B77051"/>
    <w:rsid w:val="00B826DB"/>
    <w:rsid w:val="00B85058"/>
    <w:rsid w:val="00B966FB"/>
    <w:rsid w:val="00BA094E"/>
    <w:rsid w:val="00BA1493"/>
    <w:rsid w:val="00BA5687"/>
    <w:rsid w:val="00BA5F54"/>
    <w:rsid w:val="00BA6836"/>
    <w:rsid w:val="00BB1907"/>
    <w:rsid w:val="00BB694E"/>
    <w:rsid w:val="00BB7CCF"/>
    <w:rsid w:val="00BC0AC6"/>
    <w:rsid w:val="00BC4A5F"/>
    <w:rsid w:val="00BC5280"/>
    <w:rsid w:val="00BC5337"/>
    <w:rsid w:val="00BD4D33"/>
    <w:rsid w:val="00BD5B8A"/>
    <w:rsid w:val="00BD679D"/>
    <w:rsid w:val="00BD6DC7"/>
    <w:rsid w:val="00BE463D"/>
    <w:rsid w:val="00BE5B86"/>
    <w:rsid w:val="00BE6EEE"/>
    <w:rsid w:val="00BE76F8"/>
    <w:rsid w:val="00BF10CF"/>
    <w:rsid w:val="00BF66E1"/>
    <w:rsid w:val="00C00918"/>
    <w:rsid w:val="00C100C2"/>
    <w:rsid w:val="00C1177A"/>
    <w:rsid w:val="00C14064"/>
    <w:rsid w:val="00C24EC9"/>
    <w:rsid w:val="00C33598"/>
    <w:rsid w:val="00C33727"/>
    <w:rsid w:val="00C404AE"/>
    <w:rsid w:val="00C41477"/>
    <w:rsid w:val="00C42E3A"/>
    <w:rsid w:val="00C46DE9"/>
    <w:rsid w:val="00C55921"/>
    <w:rsid w:val="00C57B47"/>
    <w:rsid w:val="00C61782"/>
    <w:rsid w:val="00C619FE"/>
    <w:rsid w:val="00C63970"/>
    <w:rsid w:val="00C65825"/>
    <w:rsid w:val="00C6643F"/>
    <w:rsid w:val="00C668D6"/>
    <w:rsid w:val="00C66FF5"/>
    <w:rsid w:val="00C71E96"/>
    <w:rsid w:val="00C81A04"/>
    <w:rsid w:val="00C81EC1"/>
    <w:rsid w:val="00C82203"/>
    <w:rsid w:val="00C839D7"/>
    <w:rsid w:val="00C92582"/>
    <w:rsid w:val="00C96A32"/>
    <w:rsid w:val="00CB5A78"/>
    <w:rsid w:val="00CB69E2"/>
    <w:rsid w:val="00CC02C2"/>
    <w:rsid w:val="00CC697F"/>
    <w:rsid w:val="00CD0311"/>
    <w:rsid w:val="00CD46B9"/>
    <w:rsid w:val="00CD5058"/>
    <w:rsid w:val="00CD5AC2"/>
    <w:rsid w:val="00CD7CC0"/>
    <w:rsid w:val="00CE150B"/>
    <w:rsid w:val="00CE559B"/>
    <w:rsid w:val="00CE7547"/>
    <w:rsid w:val="00CF177D"/>
    <w:rsid w:val="00CF58ED"/>
    <w:rsid w:val="00D02C31"/>
    <w:rsid w:val="00D07B55"/>
    <w:rsid w:val="00D10B50"/>
    <w:rsid w:val="00D1159F"/>
    <w:rsid w:val="00D20060"/>
    <w:rsid w:val="00D21BA7"/>
    <w:rsid w:val="00D232F2"/>
    <w:rsid w:val="00D23F5A"/>
    <w:rsid w:val="00D3059D"/>
    <w:rsid w:val="00D412FF"/>
    <w:rsid w:val="00D41F2A"/>
    <w:rsid w:val="00D467A7"/>
    <w:rsid w:val="00D50433"/>
    <w:rsid w:val="00D50772"/>
    <w:rsid w:val="00D53FBC"/>
    <w:rsid w:val="00D6656D"/>
    <w:rsid w:val="00D71089"/>
    <w:rsid w:val="00D72DBB"/>
    <w:rsid w:val="00D75570"/>
    <w:rsid w:val="00D77D68"/>
    <w:rsid w:val="00D92277"/>
    <w:rsid w:val="00D95BC7"/>
    <w:rsid w:val="00D96BBF"/>
    <w:rsid w:val="00DA1D26"/>
    <w:rsid w:val="00DA2352"/>
    <w:rsid w:val="00DA29DD"/>
    <w:rsid w:val="00DA4EE0"/>
    <w:rsid w:val="00DA5314"/>
    <w:rsid w:val="00DA5FD1"/>
    <w:rsid w:val="00DB3151"/>
    <w:rsid w:val="00DB6643"/>
    <w:rsid w:val="00DC2288"/>
    <w:rsid w:val="00DC630A"/>
    <w:rsid w:val="00DD3AFF"/>
    <w:rsid w:val="00DD4F55"/>
    <w:rsid w:val="00DE1672"/>
    <w:rsid w:val="00DE24FC"/>
    <w:rsid w:val="00DE5D9C"/>
    <w:rsid w:val="00DF226D"/>
    <w:rsid w:val="00DF31AE"/>
    <w:rsid w:val="00DF6056"/>
    <w:rsid w:val="00E05B88"/>
    <w:rsid w:val="00E05EEC"/>
    <w:rsid w:val="00E106B0"/>
    <w:rsid w:val="00E15C0F"/>
    <w:rsid w:val="00E17C17"/>
    <w:rsid w:val="00E2021B"/>
    <w:rsid w:val="00E2030E"/>
    <w:rsid w:val="00E206F5"/>
    <w:rsid w:val="00E20B71"/>
    <w:rsid w:val="00E260F2"/>
    <w:rsid w:val="00E346D3"/>
    <w:rsid w:val="00E35BDA"/>
    <w:rsid w:val="00E36169"/>
    <w:rsid w:val="00E36A10"/>
    <w:rsid w:val="00E373A0"/>
    <w:rsid w:val="00E374C0"/>
    <w:rsid w:val="00E40142"/>
    <w:rsid w:val="00E40E8B"/>
    <w:rsid w:val="00E5081D"/>
    <w:rsid w:val="00E53543"/>
    <w:rsid w:val="00E57EF9"/>
    <w:rsid w:val="00E63139"/>
    <w:rsid w:val="00E65572"/>
    <w:rsid w:val="00E7194E"/>
    <w:rsid w:val="00E76E89"/>
    <w:rsid w:val="00E80E69"/>
    <w:rsid w:val="00E841D5"/>
    <w:rsid w:val="00E86CB8"/>
    <w:rsid w:val="00E9234F"/>
    <w:rsid w:val="00E924EA"/>
    <w:rsid w:val="00E92B31"/>
    <w:rsid w:val="00EA3C2A"/>
    <w:rsid w:val="00EA6D10"/>
    <w:rsid w:val="00EB2190"/>
    <w:rsid w:val="00EB45DB"/>
    <w:rsid w:val="00EB5FDA"/>
    <w:rsid w:val="00EC1FAD"/>
    <w:rsid w:val="00EC3094"/>
    <w:rsid w:val="00EC4D48"/>
    <w:rsid w:val="00EE0490"/>
    <w:rsid w:val="00EE309C"/>
    <w:rsid w:val="00EE6702"/>
    <w:rsid w:val="00EF1294"/>
    <w:rsid w:val="00EF13B9"/>
    <w:rsid w:val="00EF2581"/>
    <w:rsid w:val="00EF3181"/>
    <w:rsid w:val="00EF3510"/>
    <w:rsid w:val="00F0497A"/>
    <w:rsid w:val="00F15424"/>
    <w:rsid w:val="00F15985"/>
    <w:rsid w:val="00F15B33"/>
    <w:rsid w:val="00F23455"/>
    <w:rsid w:val="00F41427"/>
    <w:rsid w:val="00F51A42"/>
    <w:rsid w:val="00F54104"/>
    <w:rsid w:val="00F6010F"/>
    <w:rsid w:val="00F64388"/>
    <w:rsid w:val="00F65BE4"/>
    <w:rsid w:val="00F74E84"/>
    <w:rsid w:val="00F77BE6"/>
    <w:rsid w:val="00F83683"/>
    <w:rsid w:val="00F86CF9"/>
    <w:rsid w:val="00F8761F"/>
    <w:rsid w:val="00F9136B"/>
    <w:rsid w:val="00F97D04"/>
    <w:rsid w:val="00FA032B"/>
    <w:rsid w:val="00FA34CD"/>
    <w:rsid w:val="00FA7193"/>
    <w:rsid w:val="00FB294A"/>
    <w:rsid w:val="00FD6923"/>
    <w:rsid w:val="00FE328A"/>
    <w:rsid w:val="00FE5088"/>
    <w:rsid w:val="00FF78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6559BBA2"/>
  <w14:defaultImageDpi w14:val="0"/>
  <w15:docId w15:val="{642352E8-5F5B-4BB8-AC2D-475B29C6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2D0D"/>
    <w:pPr>
      <w:spacing w:after="0" w:line="240" w:lineRule="auto"/>
    </w:pPr>
    <w:rPr>
      <w:szCs w:val="24"/>
    </w:rPr>
  </w:style>
  <w:style w:type="paragraph" w:styleId="1">
    <w:name w:val="heading 1"/>
    <w:basedOn w:val="a"/>
    <w:next w:val="a"/>
    <w:link w:val="10"/>
    <w:uiPriority w:val="99"/>
    <w:qFormat/>
    <w:rsid w:val="00DE24FC"/>
    <w:pPr>
      <w:keepNext/>
      <w:outlineLvl w:val="0"/>
    </w:pPr>
    <w:rPr>
      <w:b/>
      <w:bCs/>
      <w:sz w:val="20"/>
      <w:szCs w:val="20"/>
      <w:lang w:eastAsia="en-US"/>
    </w:rPr>
  </w:style>
  <w:style w:type="paragraph" w:styleId="2">
    <w:name w:val="heading 2"/>
    <w:basedOn w:val="a"/>
    <w:next w:val="a"/>
    <w:link w:val="20"/>
    <w:uiPriority w:val="99"/>
    <w:qFormat/>
    <w:rsid w:val="00DE24FC"/>
    <w:pPr>
      <w:keepNext/>
      <w:widowControl w:val="0"/>
      <w:jc w:val="both"/>
      <w:outlineLvl w:val="1"/>
    </w:pPr>
    <w:rPr>
      <w:b/>
      <w:bCs/>
      <w:szCs w:val="22"/>
    </w:rPr>
  </w:style>
  <w:style w:type="paragraph" w:styleId="3">
    <w:name w:val="heading 3"/>
    <w:basedOn w:val="a"/>
    <w:next w:val="a"/>
    <w:link w:val="30"/>
    <w:uiPriority w:val="99"/>
    <w:qFormat/>
    <w:rsid w:val="00DE24FC"/>
    <w:pPr>
      <w:keepNext/>
      <w:ind w:right="29"/>
      <w:jc w:val="right"/>
      <w:outlineLvl w:val="2"/>
    </w:pPr>
    <w:rPr>
      <w:rFonts w:ascii="Times New Roman CYR" w:hAnsi="Times New Roman CYR" w:cs="Times New Roman CYR"/>
      <w:b/>
      <w:bCs/>
      <w:i/>
      <w:iCs/>
      <w:sz w:val="18"/>
      <w:szCs w:val="18"/>
      <w:lang w:eastAsia="en-US"/>
    </w:rPr>
  </w:style>
  <w:style w:type="paragraph" w:styleId="4">
    <w:name w:val="heading 4"/>
    <w:basedOn w:val="a"/>
    <w:next w:val="a"/>
    <w:link w:val="40"/>
    <w:uiPriority w:val="99"/>
    <w:qFormat/>
    <w:rsid w:val="00DE24FC"/>
    <w:pPr>
      <w:keepNext/>
      <w:ind w:right="-345"/>
      <w:jc w:val="center"/>
      <w:outlineLvl w:val="3"/>
    </w:pPr>
    <w:rPr>
      <w:rFonts w:ascii="PragmaticaCTT" w:hAnsi="PragmaticaCTT" w:cs="PragmaticaCTT"/>
      <w:b/>
      <w:bCs/>
      <w:sz w:val="20"/>
      <w:szCs w:val="20"/>
      <w:lang w:eastAsia="en-US"/>
    </w:rPr>
  </w:style>
  <w:style w:type="paragraph" w:styleId="5">
    <w:name w:val="heading 5"/>
    <w:basedOn w:val="a"/>
    <w:next w:val="a"/>
    <w:link w:val="50"/>
    <w:uiPriority w:val="99"/>
    <w:qFormat/>
    <w:rsid w:val="00DE24FC"/>
    <w:pPr>
      <w:keepNext/>
      <w:jc w:val="center"/>
      <w:outlineLvl w:val="4"/>
    </w:pPr>
    <w:rPr>
      <w:rFonts w:ascii="PragmaticaCTT" w:hAnsi="PragmaticaCTT" w:cs="PragmaticaCTT"/>
      <w:b/>
      <w:bCs/>
      <w:sz w:val="24"/>
      <w:lang w:eastAsia="en-US"/>
    </w:rPr>
  </w:style>
  <w:style w:type="paragraph" w:styleId="6">
    <w:name w:val="heading 6"/>
    <w:basedOn w:val="a"/>
    <w:next w:val="a"/>
    <w:link w:val="60"/>
    <w:uiPriority w:val="99"/>
    <w:qFormat/>
    <w:rsid w:val="00DE24FC"/>
    <w:pPr>
      <w:keepNext/>
      <w:ind w:right="-345"/>
      <w:outlineLvl w:val="5"/>
    </w:pPr>
    <w:rPr>
      <w:rFonts w:ascii="PragmaticaCTT" w:hAnsi="PragmaticaCTT" w:cs="PragmaticaCTT"/>
      <w:b/>
      <w:bCs/>
      <w:sz w:val="20"/>
      <w:szCs w:val="20"/>
      <w:lang w:eastAsia="en-US"/>
    </w:rPr>
  </w:style>
  <w:style w:type="paragraph" w:styleId="7">
    <w:name w:val="heading 7"/>
    <w:basedOn w:val="a"/>
    <w:next w:val="a"/>
    <w:link w:val="70"/>
    <w:uiPriority w:val="99"/>
    <w:qFormat/>
    <w:rsid w:val="00DE24FC"/>
    <w:pPr>
      <w:keepNext/>
      <w:ind w:right="-108"/>
      <w:jc w:val="both"/>
      <w:outlineLvl w:val="6"/>
    </w:pPr>
    <w:rPr>
      <w:rFonts w:ascii="PragmaticaCTT" w:hAnsi="PragmaticaCTT" w:cs="PragmaticaCTT"/>
      <w:b/>
      <w:bCs/>
      <w:sz w:val="20"/>
      <w:szCs w:val="20"/>
      <w:lang w:eastAsia="en-US"/>
    </w:rPr>
  </w:style>
  <w:style w:type="paragraph" w:styleId="8">
    <w:name w:val="heading 8"/>
    <w:basedOn w:val="a"/>
    <w:next w:val="a"/>
    <w:link w:val="80"/>
    <w:uiPriority w:val="99"/>
    <w:qFormat/>
    <w:rsid w:val="00DE24FC"/>
    <w:pPr>
      <w:keepNext/>
      <w:ind w:right="29"/>
      <w:jc w:val="right"/>
      <w:outlineLvl w:val="7"/>
    </w:pPr>
    <w:rPr>
      <w:rFonts w:ascii="PragmaticaCTT" w:hAnsi="PragmaticaCTT" w:cs="PragmaticaCTT"/>
      <w:b/>
      <w:bCs/>
      <w:sz w:val="20"/>
      <w:szCs w:val="20"/>
      <w:lang w:eastAsia="en-US"/>
    </w:rPr>
  </w:style>
  <w:style w:type="paragraph" w:styleId="9">
    <w:name w:val="heading 9"/>
    <w:basedOn w:val="a"/>
    <w:next w:val="a"/>
    <w:link w:val="90"/>
    <w:uiPriority w:val="99"/>
    <w:qFormat/>
    <w:rsid w:val="00DE24FC"/>
    <w:pPr>
      <w:keepNext/>
      <w:ind w:right="-345"/>
      <w:jc w:val="both"/>
      <w:outlineLvl w:val="8"/>
    </w:pPr>
    <w:rPr>
      <w:rFonts w:ascii="PragmaticaCTT" w:hAnsi="PragmaticaCTT" w:cs="PragmaticaCTT"/>
      <w:b/>
      <w:bCs/>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02D0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9"/>
    <w:locked/>
    <w:rsid w:val="00702D0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9"/>
    <w:locked/>
    <w:rsid w:val="00702D0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9"/>
    <w:locked/>
    <w:rsid w:val="00702D0D"/>
    <w:rPr>
      <w:rFonts w:asciiTheme="minorHAnsi" w:eastAsiaTheme="minorEastAsia" w:hAnsiTheme="minorHAnsi" w:cs="Times New Roman"/>
      <w:b/>
      <w:bCs/>
      <w:sz w:val="28"/>
      <w:szCs w:val="28"/>
    </w:rPr>
  </w:style>
  <w:style w:type="character" w:customStyle="1" w:styleId="50">
    <w:name w:val="Заголовок 5 Знак"/>
    <w:basedOn w:val="a0"/>
    <w:link w:val="5"/>
    <w:uiPriority w:val="99"/>
    <w:locked/>
    <w:rsid w:val="00702D0D"/>
    <w:rPr>
      <w:rFonts w:asciiTheme="minorHAnsi" w:eastAsiaTheme="minorEastAsia" w:hAnsiTheme="minorHAnsi" w:cs="Times New Roman"/>
      <w:b/>
      <w:bCs/>
      <w:i/>
      <w:iCs/>
      <w:sz w:val="26"/>
      <w:szCs w:val="26"/>
    </w:rPr>
  </w:style>
  <w:style w:type="character" w:customStyle="1" w:styleId="60">
    <w:name w:val="Заголовок 6 Знак"/>
    <w:basedOn w:val="a0"/>
    <w:link w:val="6"/>
    <w:uiPriority w:val="99"/>
    <w:locked/>
    <w:rsid w:val="00702D0D"/>
    <w:rPr>
      <w:rFonts w:asciiTheme="minorHAnsi" w:eastAsiaTheme="minorEastAsia" w:hAnsiTheme="minorHAnsi" w:cs="Times New Roman"/>
      <w:b/>
      <w:bCs/>
    </w:rPr>
  </w:style>
  <w:style w:type="character" w:customStyle="1" w:styleId="70">
    <w:name w:val="Заголовок 7 Знак"/>
    <w:basedOn w:val="a0"/>
    <w:link w:val="7"/>
    <w:uiPriority w:val="99"/>
    <w:locked/>
    <w:rsid w:val="00702D0D"/>
    <w:rPr>
      <w:rFonts w:asciiTheme="minorHAnsi" w:eastAsiaTheme="minorEastAsia" w:hAnsiTheme="minorHAnsi" w:cs="Times New Roman"/>
      <w:sz w:val="24"/>
      <w:szCs w:val="24"/>
    </w:rPr>
  </w:style>
  <w:style w:type="character" w:customStyle="1" w:styleId="80">
    <w:name w:val="Заголовок 8 Знак"/>
    <w:basedOn w:val="a0"/>
    <w:link w:val="8"/>
    <w:uiPriority w:val="99"/>
    <w:locked/>
    <w:rsid w:val="00702D0D"/>
    <w:rPr>
      <w:rFonts w:asciiTheme="minorHAnsi" w:eastAsiaTheme="minorEastAsia" w:hAnsiTheme="minorHAnsi" w:cs="Times New Roman"/>
      <w:i/>
      <w:iCs/>
      <w:sz w:val="24"/>
      <w:szCs w:val="24"/>
    </w:rPr>
  </w:style>
  <w:style w:type="character" w:customStyle="1" w:styleId="90">
    <w:name w:val="Заголовок 9 Знак"/>
    <w:basedOn w:val="a0"/>
    <w:link w:val="9"/>
    <w:uiPriority w:val="99"/>
    <w:locked/>
    <w:rsid w:val="00702D0D"/>
    <w:rPr>
      <w:rFonts w:asciiTheme="majorHAnsi" w:eastAsiaTheme="majorEastAsia" w:hAnsiTheme="majorHAnsi" w:cs="Times New Roman"/>
    </w:rPr>
  </w:style>
  <w:style w:type="paragraph" w:customStyle="1" w:styleId="ConsPlusNormal">
    <w:name w:val="ConsPlusNormal"/>
    <w:rsid w:val="00AA48BE"/>
    <w:pPr>
      <w:widowControl w:val="0"/>
      <w:autoSpaceDE w:val="0"/>
      <w:autoSpaceDN w:val="0"/>
      <w:adjustRightInd w:val="0"/>
      <w:spacing w:after="0" w:line="240" w:lineRule="auto"/>
      <w:ind w:firstLine="720"/>
    </w:pPr>
    <w:rPr>
      <w:rFonts w:ascii="Arial" w:hAnsi="Arial" w:cs="Arial"/>
      <w:sz w:val="20"/>
      <w:szCs w:val="20"/>
    </w:rPr>
  </w:style>
  <w:style w:type="paragraph" w:customStyle="1" w:styleId="ConsPlusNonformat">
    <w:name w:val="ConsPlusNonformat"/>
    <w:uiPriority w:val="99"/>
    <w:rsid w:val="00AA48BE"/>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AA48BE"/>
    <w:pPr>
      <w:widowControl w:val="0"/>
      <w:autoSpaceDE w:val="0"/>
      <w:autoSpaceDN w:val="0"/>
      <w:adjustRightInd w:val="0"/>
      <w:spacing w:after="0" w:line="240" w:lineRule="auto"/>
    </w:pPr>
    <w:rPr>
      <w:rFonts w:ascii="Arial" w:hAnsi="Arial" w:cs="Arial"/>
      <w:b/>
      <w:bCs/>
      <w:sz w:val="20"/>
      <w:szCs w:val="20"/>
    </w:rPr>
  </w:style>
  <w:style w:type="paragraph" w:customStyle="1" w:styleId="ConsNonformat">
    <w:name w:val="ConsNonformat"/>
    <w:uiPriority w:val="99"/>
    <w:rsid w:val="00C6643F"/>
    <w:pPr>
      <w:widowControl w:val="0"/>
      <w:autoSpaceDE w:val="0"/>
      <w:autoSpaceDN w:val="0"/>
      <w:spacing w:after="0" w:line="240" w:lineRule="auto"/>
    </w:pPr>
    <w:rPr>
      <w:rFonts w:ascii="Courier New" w:hAnsi="Courier New" w:cs="Courier New"/>
      <w:sz w:val="20"/>
      <w:szCs w:val="20"/>
    </w:rPr>
  </w:style>
  <w:style w:type="paragraph" w:customStyle="1" w:styleId="ConsNormal">
    <w:name w:val="ConsNormal"/>
    <w:link w:val="ConsNormalChar"/>
    <w:uiPriority w:val="99"/>
    <w:rsid w:val="00B63BE4"/>
    <w:pPr>
      <w:widowControl w:val="0"/>
      <w:autoSpaceDE w:val="0"/>
      <w:autoSpaceDN w:val="0"/>
      <w:spacing w:after="0" w:line="240" w:lineRule="auto"/>
      <w:ind w:firstLine="720"/>
    </w:pPr>
    <w:rPr>
      <w:rFonts w:ascii="Arial" w:hAnsi="Arial" w:cs="Arial"/>
      <w:sz w:val="20"/>
      <w:szCs w:val="20"/>
    </w:rPr>
  </w:style>
  <w:style w:type="character" w:customStyle="1" w:styleId="ConsNormalChar">
    <w:name w:val="ConsNormal Char"/>
    <w:basedOn w:val="a0"/>
    <w:link w:val="ConsNormal"/>
    <w:uiPriority w:val="99"/>
    <w:locked/>
    <w:rsid w:val="00C82203"/>
    <w:rPr>
      <w:rFonts w:ascii="Arial" w:hAnsi="Arial" w:cs="Arial"/>
      <w:lang w:val="ru-RU" w:eastAsia="ru-RU" w:bidi="ar-SA"/>
    </w:rPr>
  </w:style>
  <w:style w:type="table" w:styleId="a3">
    <w:name w:val="Table Grid"/>
    <w:basedOn w:val="a1"/>
    <w:uiPriority w:val="99"/>
    <w:rsid w:val="00B63BE4"/>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uiPriority w:val="99"/>
    <w:rsid w:val="008E1973"/>
    <w:pPr>
      <w:jc w:val="both"/>
    </w:pPr>
    <w:rPr>
      <w:sz w:val="24"/>
      <w:lang w:eastAsia="en-US"/>
    </w:rPr>
  </w:style>
  <w:style w:type="character" w:customStyle="1" w:styleId="a5">
    <w:name w:val="Основной текст Знак"/>
    <w:basedOn w:val="a0"/>
    <w:link w:val="a4"/>
    <w:uiPriority w:val="99"/>
    <w:locked/>
    <w:rsid w:val="00702D0D"/>
    <w:rPr>
      <w:rFonts w:cs="Times New Roman"/>
      <w:sz w:val="24"/>
      <w:szCs w:val="24"/>
    </w:rPr>
  </w:style>
  <w:style w:type="character" w:customStyle="1" w:styleId="a6">
    <w:name w:val="Основной шрифт"/>
    <w:uiPriority w:val="99"/>
    <w:rsid w:val="00E106B0"/>
  </w:style>
  <w:style w:type="paragraph" w:customStyle="1" w:styleId="BodyBul">
    <w:name w:val="Body Bul"/>
    <w:basedOn w:val="a"/>
    <w:uiPriority w:val="99"/>
    <w:rsid w:val="00DE24FC"/>
    <w:pPr>
      <w:tabs>
        <w:tab w:val="num" w:pos="360"/>
      </w:tabs>
      <w:spacing w:after="120"/>
      <w:ind w:left="360" w:hanging="360"/>
      <w:jc w:val="both"/>
    </w:pPr>
    <w:rPr>
      <w:sz w:val="24"/>
      <w:lang w:eastAsia="en-US"/>
    </w:rPr>
  </w:style>
  <w:style w:type="character" w:styleId="a7">
    <w:name w:val="Hyperlink"/>
    <w:basedOn w:val="a0"/>
    <w:uiPriority w:val="99"/>
    <w:rsid w:val="00DE24FC"/>
    <w:rPr>
      <w:rFonts w:cs="Times New Roman"/>
      <w:color w:val="0000FF"/>
      <w:u w:val="single"/>
    </w:rPr>
  </w:style>
  <w:style w:type="paragraph" w:customStyle="1" w:styleId="ConsTitle">
    <w:name w:val="ConsTitle"/>
    <w:uiPriority w:val="99"/>
    <w:rsid w:val="00DE24FC"/>
    <w:pPr>
      <w:widowControl w:val="0"/>
      <w:autoSpaceDE w:val="0"/>
      <w:autoSpaceDN w:val="0"/>
      <w:adjustRightInd w:val="0"/>
      <w:spacing w:after="0" w:line="240" w:lineRule="auto"/>
    </w:pPr>
    <w:rPr>
      <w:rFonts w:ascii="Arial" w:hAnsi="Arial" w:cs="Arial"/>
      <w:b/>
      <w:bCs/>
      <w:sz w:val="16"/>
      <w:szCs w:val="16"/>
      <w:lang w:eastAsia="en-US"/>
    </w:rPr>
  </w:style>
  <w:style w:type="paragraph" w:styleId="a8">
    <w:name w:val="footer"/>
    <w:basedOn w:val="a"/>
    <w:link w:val="a9"/>
    <w:uiPriority w:val="99"/>
    <w:rsid w:val="00DE24FC"/>
    <w:pPr>
      <w:tabs>
        <w:tab w:val="center" w:pos="4677"/>
        <w:tab w:val="right" w:pos="9355"/>
      </w:tabs>
    </w:pPr>
  </w:style>
  <w:style w:type="character" w:customStyle="1" w:styleId="a9">
    <w:name w:val="Нижний колонтитул Знак"/>
    <w:basedOn w:val="a0"/>
    <w:link w:val="a8"/>
    <w:uiPriority w:val="99"/>
    <w:locked/>
    <w:rsid w:val="00702D0D"/>
    <w:rPr>
      <w:rFonts w:cs="Times New Roman"/>
      <w:sz w:val="24"/>
      <w:szCs w:val="24"/>
    </w:rPr>
  </w:style>
  <w:style w:type="character" w:styleId="aa">
    <w:name w:val="page number"/>
    <w:basedOn w:val="a0"/>
    <w:uiPriority w:val="99"/>
    <w:rsid w:val="00DE24FC"/>
    <w:rPr>
      <w:rFonts w:cs="Times New Roman"/>
    </w:rPr>
  </w:style>
  <w:style w:type="paragraph" w:styleId="ab">
    <w:name w:val="header"/>
    <w:basedOn w:val="a"/>
    <w:link w:val="ac"/>
    <w:uiPriority w:val="99"/>
    <w:rsid w:val="00DE24FC"/>
    <w:pPr>
      <w:tabs>
        <w:tab w:val="center" w:pos="4677"/>
        <w:tab w:val="right" w:pos="9355"/>
      </w:tabs>
    </w:pPr>
  </w:style>
  <w:style w:type="character" w:customStyle="1" w:styleId="ac">
    <w:name w:val="Верхний колонтитул Знак"/>
    <w:basedOn w:val="a0"/>
    <w:link w:val="ab"/>
    <w:uiPriority w:val="99"/>
    <w:locked/>
    <w:rsid w:val="00702D0D"/>
    <w:rPr>
      <w:rFonts w:cs="Times New Roman"/>
      <w:sz w:val="24"/>
      <w:szCs w:val="24"/>
    </w:rPr>
  </w:style>
  <w:style w:type="paragraph" w:styleId="21">
    <w:name w:val="Body Text Indent 2"/>
    <w:basedOn w:val="a"/>
    <w:link w:val="22"/>
    <w:uiPriority w:val="99"/>
    <w:rsid w:val="00DE24FC"/>
    <w:pPr>
      <w:spacing w:after="120" w:line="480" w:lineRule="auto"/>
      <w:ind w:left="283"/>
    </w:pPr>
  </w:style>
  <w:style w:type="character" w:customStyle="1" w:styleId="22">
    <w:name w:val="Основной текст с отступом 2 Знак"/>
    <w:basedOn w:val="a0"/>
    <w:link w:val="21"/>
    <w:uiPriority w:val="99"/>
    <w:locked/>
    <w:rsid w:val="00702D0D"/>
    <w:rPr>
      <w:rFonts w:cs="Times New Roman"/>
      <w:sz w:val="24"/>
      <w:szCs w:val="24"/>
    </w:rPr>
  </w:style>
  <w:style w:type="paragraph" w:styleId="23">
    <w:name w:val="Body Text 2"/>
    <w:basedOn w:val="a"/>
    <w:link w:val="24"/>
    <w:uiPriority w:val="99"/>
    <w:rsid w:val="00DE24FC"/>
    <w:pPr>
      <w:spacing w:after="120" w:line="480" w:lineRule="auto"/>
    </w:pPr>
  </w:style>
  <w:style w:type="character" w:customStyle="1" w:styleId="24">
    <w:name w:val="Основной текст 2 Знак"/>
    <w:basedOn w:val="a0"/>
    <w:link w:val="23"/>
    <w:uiPriority w:val="99"/>
    <w:locked/>
    <w:rsid w:val="00702D0D"/>
    <w:rPr>
      <w:rFonts w:cs="Times New Roman"/>
      <w:sz w:val="24"/>
      <w:szCs w:val="24"/>
    </w:rPr>
  </w:style>
  <w:style w:type="paragraph" w:styleId="ad">
    <w:name w:val="caption"/>
    <w:basedOn w:val="a"/>
    <w:next w:val="a"/>
    <w:uiPriority w:val="99"/>
    <w:qFormat/>
    <w:rsid w:val="00DE24FC"/>
    <w:pPr>
      <w:tabs>
        <w:tab w:val="left" w:pos="5103"/>
      </w:tabs>
      <w:spacing w:after="120"/>
      <w:ind w:left="-142"/>
      <w:jc w:val="both"/>
    </w:pPr>
    <w:rPr>
      <w:rFonts w:ascii="Arial" w:hAnsi="Arial" w:cs="Arial"/>
      <w:i/>
      <w:iCs/>
      <w:sz w:val="16"/>
      <w:szCs w:val="16"/>
      <w:lang w:eastAsia="en-US"/>
    </w:rPr>
  </w:style>
  <w:style w:type="paragraph" w:styleId="ae">
    <w:name w:val="Normal (Web)"/>
    <w:basedOn w:val="a"/>
    <w:uiPriority w:val="99"/>
    <w:rsid w:val="00DE24FC"/>
    <w:pPr>
      <w:spacing w:before="100" w:beforeAutospacing="1" w:after="100" w:afterAutospacing="1"/>
      <w:jc w:val="both"/>
    </w:pPr>
    <w:rPr>
      <w:rFonts w:ascii="Arial Unicode MS" w:eastAsia="Arial Unicode MS" w:cs="Arial Unicode MS"/>
      <w:sz w:val="20"/>
      <w:szCs w:val="20"/>
      <w:lang w:val="en-US" w:eastAsia="en-US"/>
    </w:rPr>
  </w:style>
  <w:style w:type="paragraph" w:customStyle="1" w:styleId="Bulleted">
    <w:name w:val="Bulleted"/>
    <w:basedOn w:val="a"/>
    <w:uiPriority w:val="99"/>
    <w:rsid w:val="00DE24FC"/>
    <w:pPr>
      <w:ind w:left="927" w:hanging="360"/>
    </w:pPr>
    <w:rPr>
      <w:szCs w:val="22"/>
    </w:rPr>
  </w:style>
  <w:style w:type="paragraph" w:customStyle="1" w:styleId="Iauiue">
    <w:name w:val="Iau?iue"/>
    <w:uiPriority w:val="99"/>
    <w:rsid w:val="00DE24FC"/>
    <w:pPr>
      <w:spacing w:after="0" w:line="240" w:lineRule="auto"/>
    </w:pPr>
    <w:rPr>
      <w:sz w:val="20"/>
      <w:szCs w:val="20"/>
      <w:lang w:val="en-US" w:eastAsia="en-US"/>
    </w:rPr>
  </w:style>
  <w:style w:type="paragraph" w:customStyle="1" w:styleId="BodyNum">
    <w:name w:val="Body Num"/>
    <w:basedOn w:val="a"/>
    <w:uiPriority w:val="99"/>
    <w:rsid w:val="00DE24FC"/>
    <w:pPr>
      <w:jc w:val="both"/>
    </w:pPr>
    <w:rPr>
      <w:sz w:val="24"/>
      <w:lang w:eastAsia="en-US"/>
    </w:rPr>
  </w:style>
  <w:style w:type="paragraph" w:styleId="af">
    <w:name w:val="Title"/>
    <w:basedOn w:val="a"/>
    <w:link w:val="af0"/>
    <w:uiPriority w:val="99"/>
    <w:qFormat/>
    <w:rsid w:val="00DE24FC"/>
    <w:pPr>
      <w:spacing w:before="240" w:after="60"/>
      <w:jc w:val="center"/>
    </w:pPr>
    <w:rPr>
      <w:rFonts w:ascii="Arial CYR" w:hAnsi="Arial CYR" w:cs="Arial CYR"/>
      <w:b/>
      <w:bCs/>
      <w:kern w:val="28"/>
      <w:sz w:val="32"/>
      <w:szCs w:val="32"/>
      <w:lang w:eastAsia="en-US"/>
    </w:rPr>
  </w:style>
  <w:style w:type="character" w:customStyle="1" w:styleId="af0">
    <w:name w:val="Заголовок Знак"/>
    <w:basedOn w:val="a0"/>
    <w:link w:val="af"/>
    <w:uiPriority w:val="99"/>
    <w:locked/>
    <w:rsid w:val="00702D0D"/>
    <w:rPr>
      <w:rFonts w:asciiTheme="majorHAnsi" w:eastAsiaTheme="majorEastAsia" w:hAnsiTheme="majorHAnsi" w:cs="Times New Roman"/>
      <w:b/>
      <w:bCs/>
      <w:kern w:val="28"/>
      <w:sz w:val="32"/>
      <w:szCs w:val="32"/>
    </w:rPr>
  </w:style>
  <w:style w:type="paragraph" w:styleId="af1">
    <w:name w:val="Subtitle"/>
    <w:basedOn w:val="a"/>
    <w:link w:val="af2"/>
    <w:uiPriority w:val="99"/>
    <w:qFormat/>
    <w:rsid w:val="00DE24FC"/>
    <w:pPr>
      <w:spacing w:after="60"/>
      <w:jc w:val="center"/>
    </w:pPr>
    <w:rPr>
      <w:rFonts w:ascii="Arial CYR" w:hAnsi="Arial CYR" w:cs="Arial CYR"/>
      <w:sz w:val="24"/>
      <w:lang w:eastAsia="en-US"/>
    </w:rPr>
  </w:style>
  <w:style w:type="character" w:customStyle="1" w:styleId="af2">
    <w:name w:val="Подзаголовок Знак"/>
    <w:basedOn w:val="a0"/>
    <w:link w:val="af1"/>
    <w:uiPriority w:val="99"/>
    <w:locked/>
    <w:rsid w:val="00702D0D"/>
    <w:rPr>
      <w:rFonts w:asciiTheme="majorHAnsi" w:eastAsiaTheme="majorEastAsia" w:hAnsiTheme="majorHAnsi" w:cs="Times New Roman"/>
      <w:sz w:val="24"/>
      <w:szCs w:val="24"/>
    </w:rPr>
  </w:style>
  <w:style w:type="paragraph" w:styleId="31">
    <w:name w:val="Body Text Indent 3"/>
    <w:basedOn w:val="a"/>
    <w:link w:val="32"/>
    <w:uiPriority w:val="99"/>
    <w:rsid w:val="00DE24FC"/>
    <w:pPr>
      <w:tabs>
        <w:tab w:val="right" w:leader="underscore" w:pos="10490"/>
      </w:tabs>
      <w:spacing w:after="120"/>
      <w:ind w:left="-142"/>
      <w:jc w:val="both"/>
    </w:pPr>
    <w:rPr>
      <w:rFonts w:ascii="Arial" w:hAnsi="Arial" w:cs="Arial"/>
      <w:i/>
      <w:iCs/>
      <w:sz w:val="16"/>
      <w:szCs w:val="16"/>
      <w:lang w:eastAsia="en-US"/>
    </w:rPr>
  </w:style>
  <w:style w:type="character" w:customStyle="1" w:styleId="32">
    <w:name w:val="Основной текст с отступом 3 Знак"/>
    <w:basedOn w:val="a0"/>
    <w:link w:val="31"/>
    <w:uiPriority w:val="99"/>
    <w:locked/>
    <w:rsid w:val="00702D0D"/>
    <w:rPr>
      <w:rFonts w:cs="Times New Roman"/>
      <w:sz w:val="16"/>
      <w:szCs w:val="16"/>
    </w:rPr>
  </w:style>
  <w:style w:type="paragraph" w:styleId="33">
    <w:name w:val="Body Text 3"/>
    <w:basedOn w:val="a"/>
    <w:link w:val="34"/>
    <w:uiPriority w:val="99"/>
    <w:rsid w:val="00DE24FC"/>
    <w:pPr>
      <w:jc w:val="right"/>
    </w:pPr>
    <w:rPr>
      <w:rFonts w:ascii="Arial" w:hAnsi="Arial" w:cs="Arial"/>
      <w:b/>
      <w:bCs/>
      <w:sz w:val="18"/>
      <w:szCs w:val="18"/>
      <w:lang w:eastAsia="en-US"/>
    </w:rPr>
  </w:style>
  <w:style w:type="character" w:customStyle="1" w:styleId="34">
    <w:name w:val="Основной текст 3 Знак"/>
    <w:basedOn w:val="a0"/>
    <w:link w:val="33"/>
    <w:uiPriority w:val="99"/>
    <w:locked/>
    <w:rsid w:val="00702D0D"/>
    <w:rPr>
      <w:rFonts w:cs="Times New Roman"/>
      <w:sz w:val="16"/>
      <w:szCs w:val="16"/>
    </w:rPr>
  </w:style>
  <w:style w:type="paragraph" w:customStyle="1" w:styleId="af3">
    <w:name w:val="ПРОЦЕДУРА"/>
    <w:basedOn w:val="a"/>
    <w:uiPriority w:val="99"/>
    <w:rsid w:val="00DE24FC"/>
    <w:pPr>
      <w:keepNext/>
      <w:spacing w:line="360" w:lineRule="auto"/>
      <w:jc w:val="center"/>
    </w:pPr>
    <w:rPr>
      <w:rFonts w:ascii="PragmaticaCTT" w:hAnsi="PragmaticaCTT" w:cs="PragmaticaCTT"/>
      <w:b/>
      <w:bCs/>
      <w:sz w:val="28"/>
      <w:szCs w:val="28"/>
    </w:rPr>
  </w:style>
  <w:style w:type="paragraph" w:customStyle="1" w:styleId="prg3">
    <w:name w:val="prg3"/>
    <w:basedOn w:val="a"/>
    <w:uiPriority w:val="99"/>
    <w:rsid w:val="00DE24FC"/>
    <w:pPr>
      <w:tabs>
        <w:tab w:val="left" w:leader="hyphen" w:pos="567"/>
        <w:tab w:val="left" w:pos="2160"/>
        <w:tab w:val="left" w:pos="2880"/>
        <w:tab w:val="left" w:pos="3600"/>
      </w:tabs>
      <w:suppressAutoHyphens/>
      <w:spacing w:before="60" w:after="60"/>
      <w:jc w:val="both"/>
    </w:pPr>
    <w:rPr>
      <w:rFonts w:ascii="SchoolBook" w:hAnsi="SchoolBook" w:cs="SchoolBook"/>
      <w:kern w:val="20"/>
      <w:sz w:val="20"/>
      <w:szCs w:val="20"/>
      <w:lang w:eastAsia="en-US"/>
    </w:rPr>
  </w:style>
  <w:style w:type="paragraph" w:customStyle="1" w:styleId="NormalWeb1">
    <w:name w:val="Normal (Web)1"/>
    <w:basedOn w:val="a"/>
    <w:uiPriority w:val="99"/>
    <w:rsid w:val="00DE24FC"/>
    <w:rPr>
      <w:rFonts w:ascii="Verdana" w:hAnsi="Verdana" w:cs="Verdana"/>
      <w:sz w:val="16"/>
      <w:szCs w:val="16"/>
      <w:lang w:eastAsia="en-US"/>
    </w:rPr>
  </w:style>
  <w:style w:type="paragraph" w:styleId="af4">
    <w:name w:val="Balloon Text"/>
    <w:basedOn w:val="a"/>
    <w:link w:val="af5"/>
    <w:uiPriority w:val="99"/>
    <w:semiHidden/>
    <w:rsid w:val="007673EE"/>
    <w:rPr>
      <w:rFonts w:ascii="Tahoma" w:hAnsi="Tahoma" w:cs="Tahoma"/>
      <w:sz w:val="16"/>
      <w:szCs w:val="16"/>
    </w:rPr>
  </w:style>
  <w:style w:type="character" w:customStyle="1" w:styleId="af5">
    <w:name w:val="Текст выноски Знак"/>
    <w:basedOn w:val="a0"/>
    <w:link w:val="af4"/>
    <w:uiPriority w:val="99"/>
    <w:semiHidden/>
    <w:locked/>
    <w:rsid w:val="00702D0D"/>
    <w:rPr>
      <w:rFonts w:ascii="Tahoma" w:hAnsi="Tahoma" w:cs="Tahoma"/>
      <w:sz w:val="16"/>
      <w:szCs w:val="16"/>
    </w:rPr>
  </w:style>
  <w:style w:type="character" w:styleId="af6">
    <w:name w:val="annotation reference"/>
    <w:basedOn w:val="a0"/>
    <w:uiPriority w:val="99"/>
    <w:semiHidden/>
    <w:rsid w:val="00BF10CF"/>
    <w:rPr>
      <w:rFonts w:cs="Times New Roman"/>
      <w:sz w:val="16"/>
      <w:szCs w:val="16"/>
    </w:rPr>
  </w:style>
  <w:style w:type="paragraph" w:styleId="af7">
    <w:name w:val="annotation text"/>
    <w:basedOn w:val="a"/>
    <w:link w:val="af8"/>
    <w:uiPriority w:val="99"/>
    <w:semiHidden/>
    <w:rsid w:val="00BF10CF"/>
    <w:rPr>
      <w:sz w:val="20"/>
      <w:szCs w:val="20"/>
    </w:rPr>
  </w:style>
  <w:style w:type="character" w:customStyle="1" w:styleId="af8">
    <w:name w:val="Текст примечания Знак"/>
    <w:basedOn w:val="a0"/>
    <w:link w:val="af7"/>
    <w:uiPriority w:val="99"/>
    <w:semiHidden/>
    <w:locked/>
    <w:rsid w:val="00702D0D"/>
    <w:rPr>
      <w:rFonts w:cs="Times New Roman"/>
      <w:sz w:val="20"/>
      <w:szCs w:val="20"/>
    </w:rPr>
  </w:style>
  <w:style w:type="paragraph" w:styleId="af9">
    <w:name w:val="annotation subject"/>
    <w:basedOn w:val="af7"/>
    <w:next w:val="af7"/>
    <w:link w:val="afa"/>
    <w:uiPriority w:val="99"/>
    <w:rsid w:val="00BF10CF"/>
    <w:rPr>
      <w:b/>
      <w:bCs/>
    </w:rPr>
  </w:style>
  <w:style w:type="character" w:customStyle="1" w:styleId="afa">
    <w:name w:val="Тема примечания Знак"/>
    <w:basedOn w:val="af8"/>
    <w:link w:val="af9"/>
    <w:uiPriority w:val="99"/>
    <w:locked/>
    <w:rsid w:val="00702D0D"/>
    <w:rPr>
      <w:rFonts w:cs="Times New Roman"/>
      <w:b/>
      <w:bCs/>
      <w:sz w:val="20"/>
      <w:szCs w:val="20"/>
    </w:rPr>
  </w:style>
  <w:style w:type="paragraph" w:styleId="afb">
    <w:name w:val="Plain Text"/>
    <w:basedOn w:val="a"/>
    <w:link w:val="afc"/>
    <w:uiPriority w:val="99"/>
    <w:rsid w:val="00DA2352"/>
    <w:rPr>
      <w:rFonts w:ascii="Courier New" w:hAnsi="Courier New" w:cs="Courier New"/>
      <w:sz w:val="20"/>
      <w:szCs w:val="20"/>
    </w:rPr>
  </w:style>
  <w:style w:type="character" w:customStyle="1" w:styleId="afc">
    <w:name w:val="Текст Знак"/>
    <w:basedOn w:val="a0"/>
    <w:link w:val="afb"/>
    <w:uiPriority w:val="99"/>
    <w:locked/>
    <w:rsid w:val="00DA2352"/>
    <w:rPr>
      <w:rFonts w:ascii="Courier New" w:hAnsi="Courier New" w:cs="Courier New"/>
      <w:sz w:val="20"/>
      <w:szCs w:val="20"/>
    </w:rPr>
  </w:style>
  <w:style w:type="paragraph" w:styleId="afd">
    <w:name w:val="List Paragraph"/>
    <w:basedOn w:val="a"/>
    <w:uiPriority w:val="34"/>
    <w:qFormat/>
    <w:rsid w:val="005113FF"/>
    <w:pPr>
      <w:spacing w:after="200" w:line="276" w:lineRule="auto"/>
      <w:ind w:left="720"/>
      <w:contextualSpacing/>
    </w:pPr>
    <w:rPr>
      <w:rFonts w:asciiTheme="minorHAnsi" w:hAnsiTheme="minorHAnsi"/>
      <w:szCs w:val="22"/>
      <w:lang w:eastAsia="en-US"/>
    </w:rPr>
  </w:style>
  <w:style w:type="character" w:styleId="afe">
    <w:name w:val="Placeholder Text"/>
    <w:basedOn w:val="a0"/>
    <w:uiPriority w:val="99"/>
    <w:semiHidden/>
    <w:rsid w:val="00081C95"/>
    <w:rPr>
      <w:color w:val="808080"/>
    </w:rPr>
  </w:style>
  <w:style w:type="paragraph" w:styleId="aff">
    <w:name w:val="Revision"/>
    <w:hidden/>
    <w:uiPriority w:val="99"/>
    <w:semiHidden/>
    <w:rsid w:val="00CC02C2"/>
    <w:pPr>
      <w:spacing w:after="0" w:line="240" w:lineRule="auto"/>
    </w:pPr>
    <w:rPr>
      <w:szCs w:val="24"/>
    </w:rPr>
  </w:style>
  <w:style w:type="paragraph" w:styleId="aff0">
    <w:name w:val="footnote text"/>
    <w:basedOn w:val="a"/>
    <w:link w:val="aff1"/>
    <w:uiPriority w:val="99"/>
    <w:semiHidden/>
    <w:rsid w:val="00025487"/>
    <w:pPr>
      <w:autoSpaceDE w:val="0"/>
      <w:autoSpaceDN w:val="0"/>
    </w:pPr>
    <w:rPr>
      <w:rFonts w:ascii="Calibri" w:hAnsi="Calibri"/>
      <w:sz w:val="20"/>
      <w:szCs w:val="20"/>
      <w:lang w:eastAsia="en-US"/>
    </w:rPr>
  </w:style>
  <w:style w:type="character" w:customStyle="1" w:styleId="aff1">
    <w:name w:val="Текст сноски Знак"/>
    <w:basedOn w:val="a0"/>
    <w:link w:val="aff0"/>
    <w:uiPriority w:val="99"/>
    <w:semiHidden/>
    <w:rsid w:val="00025487"/>
    <w:rPr>
      <w:rFonts w:ascii="Calibri" w:hAnsi="Calibri"/>
      <w:sz w:val="20"/>
      <w:szCs w:val="20"/>
      <w:lang w:eastAsia="en-US"/>
    </w:rPr>
  </w:style>
  <w:style w:type="character" w:styleId="aff2">
    <w:name w:val="footnote reference"/>
    <w:uiPriority w:val="99"/>
    <w:semiHidden/>
    <w:unhideWhenUsed/>
    <w:rsid w:val="00025487"/>
    <w:rPr>
      <w:vertAlign w:val="superscript"/>
    </w:rPr>
  </w:style>
  <w:style w:type="character" w:customStyle="1" w:styleId="aff3">
    <w:name w:val="Текстовый Знак"/>
    <w:basedOn w:val="a0"/>
    <w:link w:val="aff4"/>
    <w:locked/>
    <w:rsid w:val="00025487"/>
    <w:rPr>
      <w:rFonts w:ascii="Arial" w:hAnsi="Arial"/>
    </w:rPr>
  </w:style>
  <w:style w:type="paragraph" w:customStyle="1" w:styleId="aff4">
    <w:name w:val="Текстовый"/>
    <w:link w:val="aff3"/>
    <w:rsid w:val="00025487"/>
    <w:pPr>
      <w:widowControl w:val="0"/>
      <w:spacing w:after="0" w:line="240" w:lineRule="auto"/>
      <w:jc w:val="both"/>
    </w:pPr>
    <w:rPr>
      <w:rFonts w:ascii="Arial" w:hAnsi="Arial"/>
    </w:rPr>
  </w:style>
  <w:style w:type="paragraph" w:customStyle="1" w:styleId="Default">
    <w:name w:val="Default"/>
    <w:basedOn w:val="a"/>
    <w:rsid w:val="00DA5FD1"/>
    <w:pPr>
      <w:autoSpaceDE w:val="0"/>
      <w:autoSpaceDN w:val="0"/>
    </w:pPr>
    <w:rPr>
      <w:rFonts w:eastAsiaTheme="minorHAnsi"/>
      <w:color w:val="00000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271008">
      <w:bodyDiv w:val="1"/>
      <w:marLeft w:val="0"/>
      <w:marRight w:val="0"/>
      <w:marTop w:val="0"/>
      <w:marBottom w:val="0"/>
      <w:divBdr>
        <w:top w:val="none" w:sz="0" w:space="0" w:color="auto"/>
        <w:left w:val="none" w:sz="0" w:space="0" w:color="auto"/>
        <w:bottom w:val="none" w:sz="0" w:space="0" w:color="auto"/>
        <w:right w:val="none" w:sz="0" w:space="0" w:color="auto"/>
      </w:divBdr>
    </w:div>
    <w:div w:id="1632248128">
      <w:marLeft w:val="0"/>
      <w:marRight w:val="0"/>
      <w:marTop w:val="0"/>
      <w:marBottom w:val="0"/>
      <w:divBdr>
        <w:top w:val="none" w:sz="0" w:space="0" w:color="auto"/>
        <w:left w:val="none" w:sz="0" w:space="0" w:color="auto"/>
        <w:bottom w:val="none" w:sz="0" w:space="0" w:color="auto"/>
        <w:right w:val="none" w:sz="0" w:space="0" w:color="auto"/>
      </w:divBdr>
    </w:div>
    <w:div w:id="1632248129">
      <w:marLeft w:val="0"/>
      <w:marRight w:val="0"/>
      <w:marTop w:val="0"/>
      <w:marBottom w:val="0"/>
      <w:divBdr>
        <w:top w:val="none" w:sz="0" w:space="0" w:color="auto"/>
        <w:left w:val="none" w:sz="0" w:space="0" w:color="auto"/>
        <w:bottom w:val="none" w:sz="0" w:space="0" w:color="auto"/>
        <w:right w:val="none" w:sz="0" w:space="0" w:color="auto"/>
      </w:divBdr>
      <w:divsChild>
        <w:div w:id="1632248133">
          <w:marLeft w:val="0"/>
          <w:marRight w:val="0"/>
          <w:marTop w:val="0"/>
          <w:marBottom w:val="0"/>
          <w:divBdr>
            <w:top w:val="none" w:sz="0" w:space="0" w:color="auto"/>
            <w:left w:val="none" w:sz="0" w:space="0" w:color="auto"/>
            <w:bottom w:val="none" w:sz="0" w:space="0" w:color="auto"/>
            <w:right w:val="none" w:sz="0" w:space="0" w:color="auto"/>
          </w:divBdr>
          <w:divsChild>
            <w:div w:id="1632248131">
              <w:marLeft w:val="0"/>
              <w:marRight w:val="0"/>
              <w:marTop w:val="0"/>
              <w:marBottom w:val="0"/>
              <w:divBdr>
                <w:top w:val="none" w:sz="0" w:space="0" w:color="auto"/>
                <w:left w:val="none" w:sz="0" w:space="0" w:color="auto"/>
                <w:bottom w:val="none" w:sz="0" w:space="0" w:color="auto"/>
                <w:right w:val="none" w:sz="0" w:space="0" w:color="auto"/>
              </w:divBdr>
              <w:divsChild>
                <w:div w:id="163224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2481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Общие"/>
          <w:gallery w:val="placeholder"/>
        </w:category>
        <w:types>
          <w:type w:val="bbPlcHdr"/>
        </w:types>
        <w:behaviors>
          <w:behavior w:val="content"/>
        </w:behaviors>
        <w:guid w:val="{7A252E48-F134-4A25-BCF5-63D3A0626158}"/>
      </w:docPartPr>
      <w:docPartBody>
        <w:p w:rsidR="00244573" w:rsidRDefault="009579EC">
          <w:r w:rsidRPr="0043638C">
            <w:rPr>
              <w:rStyle w:val="a3"/>
            </w:rPr>
            <w:t>Место для ввода текста.</w:t>
          </w:r>
        </w:p>
      </w:docPartBody>
    </w:docPart>
    <w:docPart>
      <w:docPartPr>
        <w:name w:val="DefaultPlaceholder_-1854013437"/>
        <w:category>
          <w:name w:val="Общие"/>
          <w:gallery w:val="placeholder"/>
        </w:category>
        <w:types>
          <w:type w:val="bbPlcHdr"/>
        </w:types>
        <w:behaviors>
          <w:behavior w:val="content"/>
        </w:behaviors>
        <w:guid w:val="{CF43FCEC-D876-4103-B26B-85961070DBDD}"/>
      </w:docPartPr>
      <w:docPartBody>
        <w:p w:rsidR="000627C5" w:rsidRDefault="008E1604">
          <w:r w:rsidRPr="00E07AE8">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ragmaticaCTT">
    <w:altName w:val="Arial"/>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C2E"/>
    <w:rsid w:val="00053762"/>
    <w:rsid w:val="000627C5"/>
    <w:rsid w:val="000E4568"/>
    <w:rsid w:val="00244573"/>
    <w:rsid w:val="00277B64"/>
    <w:rsid w:val="002A0F04"/>
    <w:rsid w:val="0050276D"/>
    <w:rsid w:val="00817169"/>
    <w:rsid w:val="008918CB"/>
    <w:rsid w:val="008E1604"/>
    <w:rsid w:val="009579EC"/>
    <w:rsid w:val="009B3B4E"/>
    <w:rsid w:val="00A93C2E"/>
    <w:rsid w:val="00B23A12"/>
    <w:rsid w:val="00B56713"/>
    <w:rsid w:val="00BE74F5"/>
    <w:rsid w:val="00C67224"/>
    <w:rsid w:val="00D419C0"/>
    <w:rsid w:val="00DF0168"/>
    <w:rsid w:val="00E352E0"/>
    <w:rsid w:val="00E841D5"/>
    <w:rsid w:val="00F541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E160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9404B-2409-41DB-9069-3B5B81B4B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2728</Words>
  <Characters>18574</Characters>
  <Application>Microsoft Office Word</Application>
  <DocSecurity>0</DocSecurity>
  <Lines>154</Lines>
  <Paragraphs>42</Paragraphs>
  <ScaleCrop>false</ScaleCrop>
  <HeadingPairs>
    <vt:vector size="2" baseType="variant">
      <vt:variant>
        <vt:lpstr>Название</vt:lpstr>
      </vt:variant>
      <vt:variant>
        <vt:i4>1</vt:i4>
      </vt:variant>
    </vt:vector>
  </HeadingPairs>
  <TitlesOfParts>
    <vt:vector size="1" baseType="lpstr">
      <vt:lpstr>I</vt:lpstr>
    </vt:vector>
  </TitlesOfParts>
  <Company>*****</Company>
  <LinksUpToDate>false</LinksUpToDate>
  <CharactersWithSpaces>21260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Krupchatnikova</dc:creator>
  <cp:lastModifiedBy>Зубова Наталья Сергеевна</cp:lastModifiedBy>
  <cp:revision>5</cp:revision>
  <cp:lastPrinted>2020-02-20T07:29:00Z</cp:lastPrinted>
  <dcterms:created xsi:type="dcterms:W3CDTF">2026-06-03T12:43:00Z</dcterms:created>
  <dcterms:modified xsi:type="dcterms:W3CDTF">2026-07-09T14:14:00Z</dcterms:modified>
</cp:coreProperties>
</file>