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68"/>
        <w:gridCol w:w="1468"/>
        <w:gridCol w:w="2752"/>
        <w:gridCol w:w="183"/>
        <w:gridCol w:w="637"/>
        <w:gridCol w:w="2403"/>
        <w:gridCol w:w="1455"/>
        <w:gridCol w:w="13"/>
      </w:tblGrid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 состоянию на 30.11.2024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  <w:bookmarkStart w:id="0" w:name="_GoBack"/>
            <w:bookmarkEnd w:id="0"/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"ФИНАМ ФОРЕКС"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4495" w:type="dxa"/>
            <w:gridSpan w:val="3"/>
            <w:shd w:val="clear" w:color="auto" w:fill="auto"/>
            <w:tcMar>
              <w:right w:w="105" w:type="dxa"/>
            </w:tcMar>
            <w:vAlign w:val="center"/>
          </w:tcPr>
          <w:p w:rsidR="002C18EE" w:rsidRDefault="00FD6F28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2C18EE" w:rsidRDefault="00FD6F28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871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79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871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7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</w:t>
            </w:r>
            <w:r>
              <w:rPr>
                <w:rFonts w:ascii="Arial" w:hAnsi="Arial"/>
                <w:sz w:val="18"/>
                <w:szCs w:val="18"/>
              </w:rPr>
              <w:t xml:space="preserve">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87 513 641,15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</w:t>
            </w:r>
            <w:r>
              <w:rPr>
                <w:rFonts w:ascii="Arial" w:hAnsi="Arial"/>
                <w:sz w:val="18"/>
                <w:szCs w:val="18"/>
              </w:rPr>
              <w:t xml:space="preserve">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</w:t>
            </w:r>
            <w:r>
              <w:rPr>
                <w:rFonts w:ascii="Arial" w:hAnsi="Arial"/>
                <w:sz w:val="18"/>
                <w:szCs w:val="18"/>
              </w:rPr>
              <w:t>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</w:t>
            </w:r>
            <w:r>
              <w:rPr>
                <w:rFonts w:ascii="Arial" w:hAnsi="Arial"/>
                <w:sz w:val="18"/>
                <w:szCs w:val="18"/>
              </w:rPr>
              <w:t>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</w:t>
            </w:r>
            <w:r>
              <w:rPr>
                <w:rFonts w:ascii="Arial" w:hAnsi="Arial"/>
                <w:sz w:val="18"/>
                <w:szCs w:val="18"/>
              </w:rPr>
              <w:t>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83 869 831,32</w:t>
            </w: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 и его клиентов, переданные в обеспечение исполнения обязательств </w:t>
            </w:r>
            <w:r>
              <w:rPr>
                <w:rFonts w:ascii="Arial" w:hAnsi="Arial"/>
                <w:sz w:val="18"/>
                <w:szCs w:val="18"/>
              </w:rPr>
              <w:t>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обязательств профессионального участника, включая инди</w:t>
            </w:r>
            <w:r>
              <w:rPr>
                <w:rFonts w:ascii="Arial" w:hAnsi="Arial"/>
                <w:sz w:val="18"/>
                <w:szCs w:val="18"/>
              </w:rPr>
              <w:t>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 w:rsidT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</w:tbl>
    <w:p w:rsidR="002C18EE" w:rsidRDefault="00FD6F28">
      <w:r>
        <w:br w:type="page"/>
      </w:r>
    </w:p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50"/>
        <w:gridCol w:w="45"/>
        <w:gridCol w:w="900"/>
        <w:gridCol w:w="2805"/>
        <w:gridCol w:w="15"/>
      </w:tblGrid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</w:t>
            </w:r>
            <w:r>
              <w:rPr>
                <w:rFonts w:ascii="Arial" w:hAnsi="Arial"/>
                <w:sz w:val="18"/>
                <w:szCs w:val="18"/>
              </w:rPr>
              <w:t xml:space="preserve">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</w:t>
            </w:r>
            <w:r>
              <w:rPr>
                <w:rFonts w:ascii="Arial" w:hAnsi="Arial"/>
                <w:sz w:val="18"/>
                <w:szCs w:val="18"/>
              </w:rPr>
              <w:t>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</w:t>
            </w:r>
            <w:r>
              <w:rPr>
                <w:rFonts w:ascii="Arial" w:hAnsi="Arial"/>
                <w:sz w:val="18"/>
                <w:szCs w:val="18"/>
              </w:rPr>
              <w:t>нем риска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Облигации российских и иностранных эмитентов, за исключением субординированных и </w:t>
            </w:r>
            <w:r>
              <w:rPr>
                <w:rFonts w:ascii="Arial" w:hAnsi="Arial"/>
                <w:sz w:val="18"/>
                <w:szCs w:val="18"/>
              </w:rPr>
              <w:t>структурных облигаций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</w:t>
            </w:r>
            <w:r>
              <w:rPr>
                <w:rFonts w:ascii="Arial" w:hAnsi="Arial"/>
                <w:sz w:val="18"/>
                <w:szCs w:val="18"/>
              </w:rPr>
              <w:t>с образованием, так и без образования юридического лица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1 149 982,31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Отложенные налоговые активы профессионального участника в сумме, не превышающей </w:t>
            </w:r>
            <w:r>
              <w:rPr>
                <w:rFonts w:ascii="Arial" w:hAnsi="Arial"/>
                <w:sz w:val="18"/>
                <w:szCs w:val="18"/>
              </w:rPr>
              <w:t>отложенных налоговых обязательств профессионального участника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861 170,09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</w:t>
            </w:r>
            <w:r>
              <w:rPr>
                <w:rFonts w:ascii="Arial" w:hAnsi="Arial"/>
                <w:sz w:val="18"/>
                <w:szCs w:val="18"/>
              </w:rPr>
              <w:t xml:space="preserve">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038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8 601 796,32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8 601 796,32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классифицируемые как оцениваемые по справедливой стоимости через прибыль или</w:t>
            </w:r>
            <w:r>
              <w:rPr>
                <w:rFonts w:ascii="Arial" w:hAnsi="Arial"/>
                <w:sz w:val="18"/>
                <w:szCs w:val="18"/>
              </w:rPr>
              <w:t xml:space="preserve">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3 683 299,03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выпущенные </w:t>
            </w:r>
            <w:r>
              <w:rPr>
                <w:rFonts w:ascii="Arial" w:hAnsi="Arial"/>
                <w:sz w:val="18"/>
                <w:szCs w:val="18"/>
              </w:rPr>
              <w:t>долговые ценные бумаги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3 683 299,03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Обязательства по вознаграждениям работникам по окончании трудовой деятельности, не </w:t>
            </w:r>
            <w:r>
              <w:rPr>
                <w:rFonts w:ascii="Arial" w:hAnsi="Arial"/>
                <w:sz w:val="18"/>
                <w:szCs w:val="18"/>
              </w:rPr>
              <w:t>ограниченным фиксируемыми платежами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5 055 936,67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2C18EE">
            <w:pPr>
              <w:spacing w:after="0"/>
              <w:jc w:val="center"/>
            </w:pP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6 155 885,44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173 394 624,87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пассивов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23 496 917,46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2C18EE" w:rsidRDefault="00FD6F28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C18EE" w:rsidRDefault="00FD6F2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149 897 707,41</w:t>
            </w:r>
          </w:p>
        </w:tc>
      </w:tr>
      <w:tr w:rsidR="002C18E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830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199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  <w:tc>
          <w:tcPr>
            <w:tcW w:w="370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2C18EE" w:rsidRDefault="002C18EE">
            <w:pPr>
              <w:spacing w:after="0"/>
              <w:ind w:left="105"/>
            </w:pPr>
          </w:p>
        </w:tc>
      </w:tr>
    </w:tbl>
    <w:p w:rsidR="00000000" w:rsidRDefault="00FD6F28"/>
    <w:sectPr w:rsidR="00000000" w:rsidSect="00FD6F28">
      <w:pgSz w:w="11907" w:h="16839"/>
      <w:pgMar w:top="993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18EE"/>
    <w:rsid w:val="002C18EE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E3E9-0431-4A7B-80AA-D0EFAA4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Каштанова Светлана Геннадьевна</cp:lastModifiedBy>
  <cp:revision>2</cp:revision>
  <dcterms:created xsi:type="dcterms:W3CDTF">2024-12-26T08:58:00Z</dcterms:created>
  <dcterms:modified xsi:type="dcterms:W3CDTF">2024-12-26T09:01:00Z</dcterms:modified>
</cp:coreProperties>
</file>